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1E5AA">
      <w:pPr>
        <w:rPr>
          <w:rFonts w:hint="eastAsia"/>
        </w:rPr>
      </w:pPr>
    </w:p>
    <w:p w14:paraId="7D00DB70">
      <w:pPr>
        <w:jc w:val="center"/>
        <w:rPr>
          <w:rFonts w:hint="eastAsia"/>
          <w:b/>
          <w:sz w:val="84"/>
          <w:szCs w:val="84"/>
        </w:rPr>
      </w:pPr>
    </w:p>
    <w:p w14:paraId="189F817B">
      <w:pPr>
        <w:jc w:val="center"/>
        <w:rPr>
          <w:rFonts w:hint="eastAsia"/>
          <w:b/>
          <w:sz w:val="84"/>
          <w:szCs w:val="84"/>
        </w:rPr>
      </w:pPr>
      <w:r>
        <w:rPr>
          <w:rFonts w:hint="eastAsia"/>
          <w:b/>
          <w:sz w:val="84"/>
          <w:szCs w:val="84"/>
        </w:rPr>
        <w:t>质 量 手 册</w:t>
      </w:r>
    </w:p>
    <w:p w14:paraId="77749078">
      <w:pPr>
        <w:rPr>
          <w:rFonts w:hint="eastAsia" w:eastAsia="仿宋_GB2312"/>
          <w:sz w:val="36"/>
          <w:szCs w:val="36"/>
        </w:rPr>
      </w:pPr>
    </w:p>
    <w:p w14:paraId="39B5E630">
      <w:pPr>
        <w:jc w:val="center"/>
        <w:rPr>
          <w:rFonts w:hint="eastAsia" w:eastAsia="仿宋_GB2312"/>
          <w:sz w:val="36"/>
          <w:szCs w:val="36"/>
        </w:rPr>
      </w:pPr>
      <w:r>
        <w:rPr>
          <w:rFonts w:hint="eastAsia" w:eastAsia="仿宋_GB2312"/>
          <w:sz w:val="36"/>
          <w:szCs w:val="36"/>
        </w:rPr>
        <w:t>（依据GJB/9001C-2017&amp;GB/T19001-2016标准制订）</w:t>
      </w:r>
    </w:p>
    <w:p w14:paraId="2164E89E">
      <w:pPr>
        <w:jc w:val="both"/>
        <w:rPr>
          <w:rFonts w:hint="eastAsia" w:ascii="Arial" w:hAnsi="Arial" w:cs="Arial"/>
          <w:sz w:val="32"/>
          <w:szCs w:val="32"/>
          <w:lang w:val="en-US" w:eastAsia="zh-CN"/>
        </w:rPr>
      </w:pPr>
    </w:p>
    <w:p w14:paraId="5FE7EFEA">
      <w:pPr>
        <w:ind w:firstLine="1600" w:firstLineChars="500"/>
        <w:jc w:val="both"/>
        <w:rPr>
          <w:rFonts w:hint="default" w:eastAsia="宋体"/>
          <w:sz w:val="32"/>
          <w:szCs w:val="32"/>
          <w:lang w:val="en-US" w:eastAsia="zh-CN"/>
        </w:rPr>
      </w:pPr>
      <w:r>
        <w:rPr>
          <w:rFonts w:hint="eastAsia" w:ascii="Arial" w:hAnsi="Arial" w:cs="Arial"/>
          <w:sz w:val="32"/>
          <w:szCs w:val="32"/>
          <w:lang w:val="en-US" w:eastAsia="zh-CN"/>
        </w:rPr>
        <w:t xml:space="preserve">    </w:t>
      </w:r>
      <w:r>
        <w:rPr>
          <w:rFonts w:hint="eastAsia" w:ascii="Calibri" w:hAnsi="Calibri" w:eastAsia="仿宋_GB2312" w:cs="Times New Roman"/>
          <w:sz w:val="32"/>
          <w:szCs w:val="32"/>
          <w:lang w:val="en-US" w:eastAsia="zh-CN"/>
        </w:rPr>
        <w:t>编    号：</w:t>
      </w:r>
      <w:r>
        <w:rPr>
          <w:rFonts w:hint="eastAsia" w:eastAsia="仿宋_GB2312" w:cs="Times New Roman"/>
          <w:sz w:val="32"/>
          <w:szCs w:val="32"/>
          <w:lang w:val="en-US" w:eastAsia="zh-CN"/>
        </w:rPr>
        <w:t>{number}</w:t>
      </w:r>
    </w:p>
    <w:p w14:paraId="248AB0AC">
      <w:pPr>
        <w:ind w:firstLine="2240" w:firstLineChars="700"/>
        <w:jc w:val="left"/>
        <w:rPr>
          <w:rFonts w:hint="eastAsia" w:eastAsia="仿宋_GB2312"/>
          <w:sz w:val="32"/>
          <w:szCs w:val="32"/>
          <w:lang w:val="en-US" w:eastAsia="zh-CN"/>
        </w:rPr>
      </w:pPr>
      <w:r>
        <w:rPr>
          <w:rFonts w:hint="eastAsia" w:eastAsia="仿宋_GB2312"/>
          <w:sz w:val="32"/>
          <w:szCs w:val="32"/>
        </w:rPr>
        <w:t>版 本 号</w:t>
      </w:r>
      <w:r>
        <w:rPr>
          <w:rFonts w:hint="eastAsia" w:eastAsia="仿宋_GB2312"/>
          <w:sz w:val="32"/>
          <w:szCs w:val="32"/>
          <w:lang w:eastAsia="zh-CN"/>
        </w:rPr>
        <w:t>：</w:t>
      </w:r>
      <w:r>
        <w:rPr>
          <w:rFonts w:hint="eastAsia" w:eastAsia="仿宋_GB2312" w:cs="Times New Roman"/>
          <w:sz w:val="32"/>
          <w:szCs w:val="32"/>
          <w:lang w:val="en-US" w:eastAsia="zh-CN"/>
        </w:rPr>
        <w:t>{versionNum}</w:t>
      </w:r>
    </w:p>
    <w:p w14:paraId="34CA50B6">
      <w:pPr>
        <w:ind w:firstLine="2240" w:firstLineChars="700"/>
        <w:jc w:val="left"/>
        <w:rPr>
          <w:rFonts w:hint="default" w:eastAsia="仿宋_GB2312"/>
          <w:sz w:val="32"/>
          <w:szCs w:val="32"/>
          <w:u w:val="single"/>
          <w:lang w:val="en-US" w:eastAsia="zh-CN"/>
        </w:rPr>
      </w:pPr>
      <w:r>
        <w:rPr>
          <w:rFonts w:hint="eastAsia" w:eastAsia="仿宋_GB2312"/>
          <w:sz w:val="32"/>
          <w:szCs w:val="32"/>
        </w:rPr>
        <w:t>文件状态：</w:t>
      </w:r>
      <w:r>
        <w:rPr>
          <w:rFonts w:hint="eastAsia" w:eastAsia="仿宋_GB2312"/>
          <w:sz w:val="32"/>
          <w:szCs w:val="32"/>
          <w:lang w:val="en-US" w:eastAsia="zh-CN"/>
        </w:rPr>
        <w:t>{fileStatus}</w:t>
      </w:r>
    </w:p>
    <w:p w14:paraId="4CA79493">
      <w:pPr>
        <w:ind w:firstLine="2240" w:firstLineChars="700"/>
        <w:jc w:val="left"/>
        <w:rPr>
          <w:rFonts w:hint="eastAsia" w:eastAsia="仿宋_GB2312"/>
          <w:sz w:val="32"/>
          <w:szCs w:val="32"/>
          <w:u w:val="single"/>
        </w:rPr>
      </w:pPr>
      <w:r>
        <w:rPr>
          <w:rFonts w:hint="eastAsia" w:eastAsia="仿宋_GB2312"/>
          <w:sz w:val="32"/>
          <w:szCs w:val="32"/>
        </w:rPr>
        <w:t>发 放 号：</w:t>
      </w:r>
      <w:r>
        <w:rPr>
          <w:rFonts w:hint="eastAsia" w:eastAsia="仿宋_GB2312"/>
          <w:sz w:val="32"/>
          <w:szCs w:val="32"/>
          <w:lang w:val="en-US" w:eastAsia="zh-CN"/>
        </w:rPr>
        <w:t>{grantNum}</w:t>
      </w:r>
    </w:p>
    <w:p w14:paraId="1AF8D86D">
      <w:pPr>
        <w:ind w:firstLine="2240" w:firstLineChars="700"/>
        <w:jc w:val="left"/>
        <w:rPr>
          <w:rFonts w:hint="eastAsia"/>
          <w:sz w:val="32"/>
          <w:szCs w:val="32"/>
          <w:u w:val="single"/>
        </w:rPr>
      </w:pPr>
      <w:r>
        <w:rPr>
          <w:rFonts w:hint="eastAsia" w:eastAsia="仿宋_GB2312"/>
          <w:sz w:val="32"/>
          <w:szCs w:val="32"/>
        </w:rPr>
        <w:t>编    制：</w:t>
      </w:r>
      <w:r>
        <w:rPr>
          <w:rFonts w:hint="eastAsia" w:eastAsia="仿宋_GB2312"/>
          <w:sz w:val="32"/>
          <w:szCs w:val="32"/>
          <w:lang w:val="en-US" w:eastAsia="zh-CN"/>
        </w:rPr>
        <w:t>{fictionName}</w:t>
      </w:r>
    </w:p>
    <w:p w14:paraId="4E888B36">
      <w:pPr>
        <w:ind w:firstLine="2240" w:firstLineChars="700"/>
        <w:jc w:val="left"/>
        <w:rPr>
          <w:rFonts w:hint="default" w:eastAsia="仿宋_GB2312"/>
          <w:sz w:val="32"/>
          <w:szCs w:val="32"/>
          <w:u w:val="single"/>
          <w:lang w:val="en-US" w:eastAsia="zh-CN"/>
        </w:rPr>
      </w:pPr>
      <w:r>
        <w:rPr>
          <w:rFonts w:hint="eastAsia" w:eastAsia="仿宋_GB2312"/>
          <w:sz w:val="32"/>
          <w:szCs w:val="32"/>
        </w:rPr>
        <w:t>审    核：</w:t>
      </w:r>
      <w:r>
        <w:rPr>
          <w:rFonts w:hint="eastAsia" w:eastAsia="仿宋_GB2312"/>
          <w:sz w:val="32"/>
          <w:szCs w:val="32"/>
          <w:lang w:val="en-US" w:eastAsia="zh-CN"/>
        </w:rPr>
        <w:t>{checkName}</w:t>
      </w:r>
    </w:p>
    <w:p w14:paraId="0F012189">
      <w:pPr>
        <w:ind w:firstLine="2240" w:firstLineChars="700"/>
        <w:jc w:val="left"/>
        <w:rPr>
          <w:rFonts w:hint="default" w:eastAsia="仿宋_GB2312"/>
          <w:sz w:val="32"/>
          <w:szCs w:val="32"/>
          <w:lang w:val="en-US" w:eastAsia="zh-CN"/>
        </w:rPr>
      </w:pPr>
      <w:r>
        <w:rPr>
          <w:rFonts w:hint="eastAsia" w:eastAsia="仿宋_GB2312"/>
          <w:sz w:val="32"/>
          <w:szCs w:val="32"/>
        </w:rPr>
        <w:t>批    准：</w:t>
      </w:r>
      <w:r>
        <w:rPr>
          <w:rFonts w:hint="eastAsia" w:eastAsia="仿宋_GB2312"/>
          <w:sz w:val="32"/>
          <w:szCs w:val="32"/>
          <w:lang w:val="en-US" w:eastAsia="zh-CN"/>
        </w:rPr>
        <w:t>{ratifyName}</w:t>
      </w:r>
    </w:p>
    <w:p w14:paraId="3E61A5FD">
      <w:pPr>
        <w:ind w:firstLine="2240" w:firstLineChars="700"/>
        <w:jc w:val="left"/>
        <w:rPr>
          <w:rFonts w:hint="default" w:eastAsia="仿宋_GB2312"/>
          <w:sz w:val="32"/>
          <w:szCs w:val="32"/>
          <w:lang w:val="en-US" w:eastAsia="zh-CN"/>
        </w:rPr>
      </w:pPr>
      <w:r>
        <w:rPr>
          <w:rFonts w:hint="eastAsia" w:eastAsia="仿宋_GB2312"/>
          <w:sz w:val="32"/>
          <w:szCs w:val="32"/>
          <w:lang w:val="en-US" w:eastAsia="zh-CN"/>
        </w:rPr>
        <w:t>发布日期：{releaseDate}</w:t>
      </w:r>
    </w:p>
    <w:p w14:paraId="196D44B5">
      <w:pPr>
        <w:ind w:firstLine="2240" w:firstLineChars="700"/>
        <w:jc w:val="left"/>
        <w:rPr>
          <w:rFonts w:hint="default" w:eastAsia="仿宋_GB2312"/>
          <w:sz w:val="32"/>
          <w:szCs w:val="32"/>
          <w:lang w:val="en-US" w:eastAsia="zh-CN"/>
        </w:rPr>
      </w:pPr>
      <w:r>
        <w:rPr>
          <w:rFonts w:hint="eastAsia" w:eastAsia="仿宋_GB2312"/>
          <w:sz w:val="32"/>
          <w:szCs w:val="32"/>
          <w:lang w:val="en-US" w:eastAsia="zh-CN"/>
        </w:rPr>
        <w:t>实施日期：{executionDate}</w:t>
      </w:r>
    </w:p>
    <w:p w14:paraId="6B5CC7E8">
      <w:pPr>
        <w:jc w:val="center"/>
        <w:rPr>
          <w:rFonts w:hint="eastAsia" w:ascii="方正姚体"/>
          <w:sz w:val="32"/>
          <w:szCs w:val="32"/>
        </w:rPr>
      </w:pPr>
    </w:p>
    <w:p w14:paraId="41AF2FF5">
      <w:pPr>
        <w:jc w:val="center"/>
        <w:rPr>
          <w:rFonts w:hint="eastAsia" w:ascii="方正姚体"/>
          <w:sz w:val="32"/>
          <w:szCs w:val="32"/>
        </w:rPr>
      </w:pPr>
    </w:p>
    <w:p w14:paraId="7A36EC3F">
      <w:pPr>
        <w:rPr>
          <w:rFonts w:hint="eastAsia" w:eastAsia="仿宋_GB2312"/>
        </w:rPr>
      </w:pPr>
      <w:r>
        <w:rPr>
          <w:rFonts w:hint="eastAsia" w:eastAsia="仿宋_GB2312"/>
        </w:rPr>
        <w:br w:type="page"/>
      </w:r>
    </w:p>
    <w:p w14:paraId="1FAC70BB">
      <w:pPr>
        <w:jc w:val="center"/>
        <w:rPr>
          <w:rFonts w:hint="eastAsia" w:ascii="黑体"/>
          <w:sz w:val="30"/>
          <w:szCs w:val="30"/>
          <w:lang w:val="zh-CN"/>
        </w:rPr>
      </w:pPr>
      <w:r>
        <w:rPr>
          <w:rFonts w:hint="eastAsia" w:ascii="黑体"/>
          <w:sz w:val="30"/>
          <w:szCs w:val="30"/>
          <w:lang w:val="zh-CN"/>
        </w:rPr>
        <w:t>手册修改记录</w:t>
      </w:r>
    </w:p>
    <w:tbl>
      <w:tblPr>
        <w:tblStyle w:val="40"/>
        <w:tblW w:w="9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470"/>
        <w:gridCol w:w="3675"/>
        <w:gridCol w:w="1260"/>
        <w:gridCol w:w="1050"/>
        <w:gridCol w:w="1149"/>
      </w:tblGrid>
      <w:tr w14:paraId="62009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948" w:type="dxa"/>
            <w:noWrap w:val="0"/>
            <w:vAlign w:val="center"/>
          </w:tcPr>
          <w:p w14:paraId="63CA7571">
            <w:pPr>
              <w:jc w:val="center"/>
              <w:rPr>
                <w:rFonts w:hint="eastAsia" w:ascii="黑体"/>
                <w:szCs w:val="21"/>
              </w:rPr>
            </w:pPr>
            <w:r>
              <w:rPr>
                <w:rFonts w:hint="eastAsia" w:ascii="黑体"/>
                <w:szCs w:val="21"/>
              </w:rPr>
              <w:t>序号</w:t>
            </w:r>
          </w:p>
        </w:tc>
        <w:tc>
          <w:tcPr>
            <w:tcW w:w="1470" w:type="dxa"/>
            <w:noWrap w:val="0"/>
            <w:vAlign w:val="center"/>
          </w:tcPr>
          <w:p w14:paraId="690D732D">
            <w:pPr>
              <w:jc w:val="center"/>
              <w:rPr>
                <w:rFonts w:hint="eastAsia" w:ascii="黑体"/>
                <w:szCs w:val="21"/>
              </w:rPr>
            </w:pPr>
            <w:r>
              <w:rPr>
                <w:rFonts w:hint="eastAsia" w:ascii="黑体"/>
                <w:szCs w:val="21"/>
              </w:rPr>
              <w:t>更改单编号</w:t>
            </w:r>
          </w:p>
        </w:tc>
        <w:tc>
          <w:tcPr>
            <w:tcW w:w="3675" w:type="dxa"/>
            <w:noWrap w:val="0"/>
            <w:vAlign w:val="center"/>
          </w:tcPr>
          <w:p w14:paraId="2670140E">
            <w:pPr>
              <w:jc w:val="center"/>
              <w:rPr>
                <w:rFonts w:hint="eastAsia" w:ascii="黑体"/>
                <w:szCs w:val="21"/>
              </w:rPr>
            </w:pPr>
            <w:r>
              <w:rPr>
                <w:rFonts w:hint="eastAsia" w:ascii="黑体"/>
                <w:szCs w:val="21"/>
              </w:rPr>
              <w:t>修   改   内   容</w:t>
            </w:r>
          </w:p>
        </w:tc>
        <w:tc>
          <w:tcPr>
            <w:tcW w:w="1260" w:type="dxa"/>
            <w:noWrap w:val="0"/>
            <w:vAlign w:val="center"/>
          </w:tcPr>
          <w:p w14:paraId="56C53AC7">
            <w:pPr>
              <w:jc w:val="center"/>
              <w:rPr>
                <w:rFonts w:hint="eastAsia" w:ascii="黑体"/>
                <w:szCs w:val="21"/>
              </w:rPr>
            </w:pPr>
            <w:r>
              <w:rPr>
                <w:rFonts w:hint="eastAsia" w:ascii="黑体"/>
                <w:szCs w:val="21"/>
              </w:rPr>
              <w:t>更 改 人</w:t>
            </w:r>
          </w:p>
        </w:tc>
        <w:tc>
          <w:tcPr>
            <w:tcW w:w="1050" w:type="dxa"/>
            <w:noWrap w:val="0"/>
            <w:vAlign w:val="center"/>
          </w:tcPr>
          <w:p w14:paraId="3F89A98D">
            <w:pPr>
              <w:jc w:val="center"/>
              <w:rPr>
                <w:rFonts w:hint="eastAsia" w:ascii="黑体"/>
                <w:szCs w:val="21"/>
              </w:rPr>
            </w:pPr>
            <w:r>
              <w:rPr>
                <w:rFonts w:hint="eastAsia" w:ascii="黑体"/>
                <w:szCs w:val="21"/>
              </w:rPr>
              <w:t>备  注</w:t>
            </w:r>
          </w:p>
        </w:tc>
        <w:tc>
          <w:tcPr>
            <w:tcW w:w="1149" w:type="dxa"/>
            <w:noWrap w:val="0"/>
            <w:vAlign w:val="center"/>
          </w:tcPr>
          <w:p w14:paraId="2A862829">
            <w:pPr>
              <w:jc w:val="center"/>
              <w:rPr>
                <w:rFonts w:hint="eastAsia" w:ascii="黑体" w:eastAsia="宋体"/>
                <w:szCs w:val="21"/>
                <w:lang w:eastAsia="zh-CN"/>
              </w:rPr>
            </w:pPr>
            <w:r>
              <w:rPr>
                <w:rFonts w:hint="eastAsia" w:ascii="黑体"/>
                <w:szCs w:val="21"/>
                <w:lang w:eastAsia="zh-CN"/>
              </w:rPr>
              <w:t>实施时间</w:t>
            </w:r>
          </w:p>
        </w:tc>
      </w:tr>
      <w:tr w14:paraId="2C946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jc w:val="center"/>
        </w:trPr>
        <w:tc>
          <w:tcPr>
            <w:tcW w:w="948" w:type="dxa"/>
            <w:noWrap w:val="0"/>
            <w:vAlign w:val="center"/>
          </w:tcPr>
          <w:p w14:paraId="0D71A502">
            <w:pPr>
              <w:jc w:val="center"/>
              <w:rPr>
                <w:rFonts w:hint="eastAsia" w:ascii="黑体"/>
                <w:szCs w:val="21"/>
              </w:rPr>
            </w:pPr>
          </w:p>
        </w:tc>
        <w:tc>
          <w:tcPr>
            <w:tcW w:w="1470" w:type="dxa"/>
            <w:noWrap w:val="0"/>
            <w:vAlign w:val="center"/>
          </w:tcPr>
          <w:p w14:paraId="6F9906C1">
            <w:pPr>
              <w:jc w:val="center"/>
              <w:rPr>
                <w:rFonts w:hint="eastAsia" w:ascii="黑体"/>
                <w:szCs w:val="21"/>
              </w:rPr>
            </w:pPr>
          </w:p>
        </w:tc>
        <w:tc>
          <w:tcPr>
            <w:tcW w:w="3675" w:type="dxa"/>
            <w:noWrap w:val="0"/>
            <w:vAlign w:val="center"/>
          </w:tcPr>
          <w:p w14:paraId="1CB1A900">
            <w:pPr>
              <w:jc w:val="center"/>
              <w:rPr>
                <w:rFonts w:hint="eastAsia" w:ascii="黑体"/>
                <w:szCs w:val="21"/>
              </w:rPr>
            </w:pPr>
          </w:p>
        </w:tc>
        <w:tc>
          <w:tcPr>
            <w:tcW w:w="1260" w:type="dxa"/>
            <w:noWrap w:val="0"/>
            <w:vAlign w:val="center"/>
          </w:tcPr>
          <w:p w14:paraId="02F299C4">
            <w:pPr>
              <w:jc w:val="center"/>
              <w:rPr>
                <w:rFonts w:hint="eastAsia" w:ascii="黑体"/>
                <w:szCs w:val="21"/>
              </w:rPr>
            </w:pPr>
          </w:p>
        </w:tc>
        <w:tc>
          <w:tcPr>
            <w:tcW w:w="1050" w:type="dxa"/>
            <w:noWrap w:val="0"/>
            <w:vAlign w:val="center"/>
          </w:tcPr>
          <w:p w14:paraId="012F8B83">
            <w:pPr>
              <w:jc w:val="center"/>
              <w:rPr>
                <w:rFonts w:hint="eastAsia" w:ascii="黑体"/>
                <w:sz w:val="18"/>
                <w:szCs w:val="18"/>
              </w:rPr>
            </w:pPr>
          </w:p>
        </w:tc>
        <w:tc>
          <w:tcPr>
            <w:tcW w:w="1149" w:type="dxa"/>
            <w:noWrap w:val="0"/>
            <w:vAlign w:val="center"/>
          </w:tcPr>
          <w:p w14:paraId="413DD6D1">
            <w:pPr>
              <w:jc w:val="center"/>
              <w:rPr>
                <w:rFonts w:hint="eastAsia" w:ascii="黑体"/>
                <w:sz w:val="18"/>
                <w:szCs w:val="18"/>
              </w:rPr>
            </w:pPr>
          </w:p>
        </w:tc>
      </w:tr>
      <w:tr w14:paraId="3BD69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948" w:type="dxa"/>
            <w:noWrap w:val="0"/>
            <w:vAlign w:val="center"/>
          </w:tcPr>
          <w:p w14:paraId="7E2151DC">
            <w:pPr>
              <w:jc w:val="center"/>
              <w:rPr>
                <w:rFonts w:hint="eastAsia" w:ascii="黑体" w:eastAsia="宋体"/>
                <w:szCs w:val="21"/>
                <w:lang w:val="en-US" w:eastAsia="zh-CN"/>
              </w:rPr>
            </w:pPr>
          </w:p>
        </w:tc>
        <w:tc>
          <w:tcPr>
            <w:tcW w:w="1470" w:type="dxa"/>
            <w:noWrap w:val="0"/>
            <w:vAlign w:val="center"/>
          </w:tcPr>
          <w:p w14:paraId="5F48847D">
            <w:pPr>
              <w:jc w:val="center"/>
              <w:rPr>
                <w:rFonts w:hint="eastAsia" w:ascii="黑体" w:eastAsia="宋体"/>
                <w:szCs w:val="21"/>
                <w:lang w:val="en-US" w:eastAsia="zh-CN"/>
              </w:rPr>
            </w:pPr>
          </w:p>
        </w:tc>
        <w:tc>
          <w:tcPr>
            <w:tcW w:w="3675" w:type="dxa"/>
            <w:noWrap w:val="0"/>
            <w:vAlign w:val="center"/>
          </w:tcPr>
          <w:p w14:paraId="4C8BB47E">
            <w:pPr>
              <w:jc w:val="center"/>
              <w:rPr>
                <w:rFonts w:hint="default" w:ascii="黑体" w:eastAsia="宋体"/>
                <w:szCs w:val="21"/>
                <w:lang w:val="en-US" w:eastAsia="zh-CN"/>
              </w:rPr>
            </w:pPr>
          </w:p>
        </w:tc>
        <w:tc>
          <w:tcPr>
            <w:tcW w:w="1260" w:type="dxa"/>
            <w:noWrap w:val="0"/>
            <w:vAlign w:val="center"/>
          </w:tcPr>
          <w:p w14:paraId="7553CB74">
            <w:pPr>
              <w:jc w:val="center"/>
              <w:rPr>
                <w:rFonts w:hint="default" w:ascii="黑体" w:eastAsia="宋体"/>
                <w:szCs w:val="21"/>
                <w:lang w:val="en-US" w:eastAsia="zh-CN"/>
              </w:rPr>
            </w:pPr>
          </w:p>
        </w:tc>
        <w:tc>
          <w:tcPr>
            <w:tcW w:w="1050" w:type="dxa"/>
            <w:noWrap w:val="0"/>
            <w:vAlign w:val="center"/>
          </w:tcPr>
          <w:p w14:paraId="2A77616F">
            <w:pPr>
              <w:jc w:val="center"/>
              <w:rPr>
                <w:rFonts w:hint="eastAsia" w:ascii="黑体"/>
                <w:szCs w:val="21"/>
              </w:rPr>
            </w:pPr>
          </w:p>
        </w:tc>
        <w:tc>
          <w:tcPr>
            <w:tcW w:w="1149" w:type="dxa"/>
            <w:noWrap w:val="0"/>
            <w:vAlign w:val="center"/>
          </w:tcPr>
          <w:p w14:paraId="2DC94DD2">
            <w:pPr>
              <w:jc w:val="center"/>
              <w:rPr>
                <w:rFonts w:hint="eastAsia" w:ascii="黑体"/>
                <w:sz w:val="18"/>
                <w:szCs w:val="18"/>
              </w:rPr>
            </w:pPr>
          </w:p>
        </w:tc>
      </w:tr>
      <w:tr w14:paraId="68399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948" w:type="dxa"/>
            <w:noWrap w:val="0"/>
            <w:vAlign w:val="center"/>
          </w:tcPr>
          <w:p w14:paraId="5166CC57">
            <w:pPr>
              <w:jc w:val="center"/>
              <w:rPr>
                <w:rFonts w:hint="eastAsia" w:ascii="黑体" w:eastAsia="宋体"/>
                <w:szCs w:val="21"/>
                <w:lang w:val="en-US" w:eastAsia="zh-CN"/>
              </w:rPr>
            </w:pPr>
          </w:p>
        </w:tc>
        <w:tc>
          <w:tcPr>
            <w:tcW w:w="1470" w:type="dxa"/>
            <w:noWrap w:val="0"/>
            <w:vAlign w:val="center"/>
          </w:tcPr>
          <w:p w14:paraId="237FB912">
            <w:pPr>
              <w:jc w:val="center"/>
              <w:rPr>
                <w:rFonts w:hint="eastAsia" w:ascii="黑体" w:eastAsia="宋体"/>
                <w:szCs w:val="21"/>
                <w:lang w:val="en-US" w:eastAsia="zh-CN"/>
              </w:rPr>
            </w:pPr>
          </w:p>
        </w:tc>
        <w:tc>
          <w:tcPr>
            <w:tcW w:w="3675" w:type="dxa"/>
            <w:noWrap w:val="0"/>
            <w:vAlign w:val="center"/>
          </w:tcPr>
          <w:p w14:paraId="6FB6B892">
            <w:pPr>
              <w:jc w:val="center"/>
              <w:rPr>
                <w:rFonts w:hint="eastAsia" w:ascii="黑体" w:eastAsia="宋体"/>
                <w:szCs w:val="21"/>
                <w:lang w:eastAsia="zh-CN"/>
              </w:rPr>
            </w:pPr>
          </w:p>
        </w:tc>
        <w:tc>
          <w:tcPr>
            <w:tcW w:w="1260" w:type="dxa"/>
            <w:noWrap w:val="0"/>
            <w:vAlign w:val="center"/>
          </w:tcPr>
          <w:p w14:paraId="3BFE9A7A">
            <w:pPr>
              <w:jc w:val="center"/>
              <w:rPr>
                <w:rFonts w:hint="eastAsia" w:ascii="黑体"/>
                <w:szCs w:val="21"/>
              </w:rPr>
            </w:pPr>
          </w:p>
        </w:tc>
        <w:tc>
          <w:tcPr>
            <w:tcW w:w="1050" w:type="dxa"/>
            <w:noWrap w:val="0"/>
            <w:vAlign w:val="center"/>
          </w:tcPr>
          <w:p w14:paraId="545E769F">
            <w:pPr>
              <w:jc w:val="center"/>
              <w:rPr>
                <w:rFonts w:hint="eastAsia" w:ascii="黑体"/>
                <w:szCs w:val="21"/>
              </w:rPr>
            </w:pPr>
          </w:p>
        </w:tc>
        <w:tc>
          <w:tcPr>
            <w:tcW w:w="1149" w:type="dxa"/>
            <w:noWrap w:val="0"/>
            <w:vAlign w:val="center"/>
          </w:tcPr>
          <w:p w14:paraId="09B180DE">
            <w:pPr>
              <w:jc w:val="center"/>
              <w:rPr>
                <w:rFonts w:hint="eastAsia" w:ascii="黑体"/>
                <w:sz w:val="18"/>
                <w:szCs w:val="18"/>
              </w:rPr>
            </w:pPr>
          </w:p>
        </w:tc>
      </w:tr>
      <w:tr w14:paraId="310A5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948" w:type="dxa"/>
            <w:noWrap w:val="0"/>
            <w:vAlign w:val="center"/>
          </w:tcPr>
          <w:p w14:paraId="2A6CE463">
            <w:pPr>
              <w:jc w:val="center"/>
              <w:rPr>
                <w:rFonts w:hint="eastAsia" w:ascii="黑体" w:eastAsia="宋体"/>
                <w:szCs w:val="21"/>
                <w:lang w:val="en-US" w:eastAsia="zh-CN"/>
              </w:rPr>
            </w:pPr>
          </w:p>
        </w:tc>
        <w:tc>
          <w:tcPr>
            <w:tcW w:w="1470" w:type="dxa"/>
            <w:noWrap w:val="0"/>
            <w:vAlign w:val="center"/>
          </w:tcPr>
          <w:p w14:paraId="0B1BFFF8">
            <w:pPr>
              <w:jc w:val="center"/>
              <w:rPr>
                <w:rFonts w:hint="eastAsia" w:ascii="黑体" w:eastAsia="宋体"/>
                <w:szCs w:val="21"/>
                <w:lang w:val="en-US" w:eastAsia="zh-CN"/>
              </w:rPr>
            </w:pPr>
          </w:p>
        </w:tc>
        <w:tc>
          <w:tcPr>
            <w:tcW w:w="3675" w:type="dxa"/>
            <w:noWrap w:val="0"/>
            <w:vAlign w:val="center"/>
          </w:tcPr>
          <w:p w14:paraId="5620436A">
            <w:pPr>
              <w:jc w:val="center"/>
              <w:rPr>
                <w:rFonts w:hint="eastAsia" w:ascii="黑体" w:eastAsia="宋体"/>
                <w:szCs w:val="21"/>
                <w:lang w:eastAsia="zh-CN"/>
              </w:rPr>
            </w:pPr>
          </w:p>
        </w:tc>
        <w:tc>
          <w:tcPr>
            <w:tcW w:w="1260" w:type="dxa"/>
            <w:noWrap w:val="0"/>
            <w:vAlign w:val="center"/>
          </w:tcPr>
          <w:p w14:paraId="30015E5F">
            <w:pPr>
              <w:jc w:val="center"/>
              <w:rPr>
                <w:rFonts w:hint="eastAsia" w:ascii="黑体"/>
                <w:szCs w:val="21"/>
              </w:rPr>
            </w:pPr>
          </w:p>
        </w:tc>
        <w:tc>
          <w:tcPr>
            <w:tcW w:w="1050" w:type="dxa"/>
            <w:noWrap w:val="0"/>
            <w:vAlign w:val="center"/>
          </w:tcPr>
          <w:p w14:paraId="3E8B3442">
            <w:pPr>
              <w:jc w:val="center"/>
              <w:rPr>
                <w:rFonts w:hint="eastAsia" w:ascii="黑体"/>
                <w:szCs w:val="21"/>
              </w:rPr>
            </w:pPr>
          </w:p>
        </w:tc>
        <w:tc>
          <w:tcPr>
            <w:tcW w:w="1149" w:type="dxa"/>
            <w:noWrap w:val="0"/>
            <w:vAlign w:val="center"/>
          </w:tcPr>
          <w:p w14:paraId="39991069">
            <w:pPr>
              <w:jc w:val="center"/>
              <w:rPr>
                <w:rFonts w:hint="eastAsia" w:ascii="黑体"/>
                <w:sz w:val="18"/>
                <w:szCs w:val="18"/>
              </w:rPr>
            </w:pPr>
          </w:p>
        </w:tc>
      </w:tr>
      <w:tr w14:paraId="73C8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948" w:type="dxa"/>
            <w:noWrap w:val="0"/>
            <w:vAlign w:val="center"/>
          </w:tcPr>
          <w:p w14:paraId="39C8E028">
            <w:pPr>
              <w:jc w:val="center"/>
              <w:rPr>
                <w:rFonts w:hint="default" w:ascii="黑体" w:eastAsia="宋体"/>
                <w:szCs w:val="21"/>
                <w:lang w:val="en-US" w:eastAsia="zh-CN"/>
              </w:rPr>
            </w:pPr>
          </w:p>
        </w:tc>
        <w:tc>
          <w:tcPr>
            <w:tcW w:w="1470" w:type="dxa"/>
            <w:noWrap w:val="0"/>
            <w:vAlign w:val="center"/>
          </w:tcPr>
          <w:p w14:paraId="012673C5">
            <w:pPr>
              <w:jc w:val="center"/>
              <w:rPr>
                <w:rFonts w:hint="eastAsia" w:ascii="黑体" w:eastAsia="宋体"/>
                <w:szCs w:val="21"/>
                <w:lang w:val="en-US" w:eastAsia="zh-CN"/>
              </w:rPr>
            </w:pPr>
          </w:p>
        </w:tc>
        <w:tc>
          <w:tcPr>
            <w:tcW w:w="3675" w:type="dxa"/>
            <w:noWrap w:val="0"/>
            <w:vAlign w:val="center"/>
          </w:tcPr>
          <w:p w14:paraId="64F16618">
            <w:pPr>
              <w:jc w:val="center"/>
              <w:rPr>
                <w:rFonts w:hint="default" w:ascii="黑体" w:eastAsia="宋体"/>
                <w:szCs w:val="21"/>
                <w:lang w:val="en-US" w:eastAsia="zh-CN"/>
              </w:rPr>
            </w:pPr>
          </w:p>
        </w:tc>
        <w:tc>
          <w:tcPr>
            <w:tcW w:w="1260" w:type="dxa"/>
            <w:noWrap w:val="0"/>
            <w:vAlign w:val="center"/>
          </w:tcPr>
          <w:p w14:paraId="657CBB7B">
            <w:pPr>
              <w:jc w:val="center"/>
              <w:rPr>
                <w:rFonts w:hint="eastAsia" w:ascii="黑体"/>
                <w:kern w:val="2"/>
                <w:sz w:val="21"/>
                <w:szCs w:val="21"/>
                <w:lang w:val="en-US" w:eastAsia="zh-CN" w:bidi="ar-SA"/>
              </w:rPr>
            </w:pPr>
          </w:p>
        </w:tc>
        <w:tc>
          <w:tcPr>
            <w:tcW w:w="1050" w:type="dxa"/>
            <w:noWrap w:val="0"/>
            <w:vAlign w:val="center"/>
          </w:tcPr>
          <w:p w14:paraId="379EC3B9">
            <w:pPr>
              <w:jc w:val="center"/>
              <w:rPr>
                <w:rFonts w:hint="eastAsia" w:ascii="黑体"/>
                <w:kern w:val="2"/>
                <w:sz w:val="21"/>
                <w:szCs w:val="21"/>
                <w:lang w:val="en-US" w:eastAsia="zh-CN" w:bidi="ar-SA"/>
              </w:rPr>
            </w:pPr>
          </w:p>
        </w:tc>
        <w:tc>
          <w:tcPr>
            <w:tcW w:w="1149" w:type="dxa"/>
            <w:noWrap w:val="0"/>
            <w:vAlign w:val="center"/>
          </w:tcPr>
          <w:p w14:paraId="2E443BCF">
            <w:pPr>
              <w:jc w:val="center"/>
              <w:rPr>
                <w:rFonts w:hint="eastAsia" w:ascii="黑体"/>
                <w:sz w:val="18"/>
                <w:szCs w:val="18"/>
              </w:rPr>
            </w:pPr>
          </w:p>
        </w:tc>
      </w:tr>
      <w:tr w14:paraId="4C9A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948" w:type="dxa"/>
            <w:noWrap w:val="0"/>
            <w:vAlign w:val="center"/>
          </w:tcPr>
          <w:p w14:paraId="77730256">
            <w:pPr>
              <w:jc w:val="center"/>
              <w:rPr>
                <w:rFonts w:hint="eastAsia" w:ascii="黑体" w:eastAsia="宋体"/>
                <w:szCs w:val="21"/>
                <w:lang w:val="en-US" w:eastAsia="zh-CN"/>
              </w:rPr>
            </w:pPr>
          </w:p>
        </w:tc>
        <w:tc>
          <w:tcPr>
            <w:tcW w:w="1470" w:type="dxa"/>
            <w:noWrap w:val="0"/>
            <w:vAlign w:val="center"/>
          </w:tcPr>
          <w:p w14:paraId="45CE2B03">
            <w:pPr>
              <w:jc w:val="center"/>
              <w:rPr>
                <w:rFonts w:hint="eastAsia" w:ascii="黑体" w:eastAsia="宋体"/>
                <w:szCs w:val="21"/>
                <w:lang w:val="en-US" w:eastAsia="zh-CN"/>
              </w:rPr>
            </w:pPr>
          </w:p>
        </w:tc>
        <w:tc>
          <w:tcPr>
            <w:tcW w:w="3675" w:type="dxa"/>
            <w:noWrap w:val="0"/>
            <w:vAlign w:val="center"/>
          </w:tcPr>
          <w:p w14:paraId="30305592">
            <w:pPr>
              <w:jc w:val="center"/>
              <w:rPr>
                <w:rFonts w:hint="default" w:ascii="黑体" w:eastAsia="宋体"/>
                <w:szCs w:val="21"/>
                <w:lang w:val="en-US" w:eastAsia="zh-CN"/>
              </w:rPr>
            </w:pPr>
          </w:p>
        </w:tc>
        <w:tc>
          <w:tcPr>
            <w:tcW w:w="1260" w:type="dxa"/>
            <w:noWrap w:val="0"/>
            <w:vAlign w:val="center"/>
          </w:tcPr>
          <w:p w14:paraId="10A504DF">
            <w:pPr>
              <w:jc w:val="center"/>
              <w:rPr>
                <w:rFonts w:hint="eastAsia" w:ascii="黑体"/>
                <w:kern w:val="2"/>
                <w:sz w:val="21"/>
                <w:szCs w:val="21"/>
                <w:lang w:val="en-US" w:eastAsia="zh-CN" w:bidi="ar-SA"/>
              </w:rPr>
            </w:pPr>
          </w:p>
        </w:tc>
        <w:tc>
          <w:tcPr>
            <w:tcW w:w="1050" w:type="dxa"/>
            <w:noWrap w:val="0"/>
            <w:vAlign w:val="center"/>
          </w:tcPr>
          <w:p w14:paraId="033E289E">
            <w:pPr>
              <w:jc w:val="center"/>
              <w:rPr>
                <w:rFonts w:hint="eastAsia" w:ascii="黑体"/>
                <w:kern w:val="2"/>
                <w:sz w:val="21"/>
                <w:szCs w:val="21"/>
                <w:lang w:val="en-US" w:eastAsia="zh-CN" w:bidi="ar-SA"/>
              </w:rPr>
            </w:pPr>
          </w:p>
        </w:tc>
        <w:tc>
          <w:tcPr>
            <w:tcW w:w="1149" w:type="dxa"/>
            <w:noWrap w:val="0"/>
            <w:vAlign w:val="center"/>
          </w:tcPr>
          <w:p w14:paraId="00B8A7EB">
            <w:pPr>
              <w:jc w:val="center"/>
              <w:rPr>
                <w:rFonts w:hint="eastAsia" w:ascii="黑体"/>
                <w:sz w:val="18"/>
                <w:szCs w:val="18"/>
              </w:rPr>
            </w:pPr>
          </w:p>
        </w:tc>
      </w:tr>
      <w:tr w14:paraId="27109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948" w:type="dxa"/>
            <w:noWrap w:val="0"/>
            <w:vAlign w:val="center"/>
          </w:tcPr>
          <w:p w14:paraId="22BB2D16">
            <w:pPr>
              <w:jc w:val="center"/>
              <w:rPr>
                <w:rFonts w:hint="eastAsia" w:ascii="黑体" w:eastAsia="宋体"/>
                <w:szCs w:val="21"/>
                <w:lang w:val="en-US" w:eastAsia="zh-CN"/>
              </w:rPr>
            </w:pPr>
          </w:p>
        </w:tc>
        <w:tc>
          <w:tcPr>
            <w:tcW w:w="1470" w:type="dxa"/>
            <w:noWrap w:val="0"/>
            <w:vAlign w:val="center"/>
          </w:tcPr>
          <w:p w14:paraId="70D4D349">
            <w:pPr>
              <w:jc w:val="center"/>
              <w:rPr>
                <w:rFonts w:hint="eastAsia" w:ascii="黑体"/>
                <w:szCs w:val="21"/>
              </w:rPr>
            </w:pPr>
          </w:p>
        </w:tc>
        <w:tc>
          <w:tcPr>
            <w:tcW w:w="3675" w:type="dxa"/>
            <w:noWrap w:val="0"/>
            <w:vAlign w:val="center"/>
          </w:tcPr>
          <w:p w14:paraId="15CEC939">
            <w:pPr>
              <w:jc w:val="center"/>
              <w:rPr>
                <w:rFonts w:hint="default" w:ascii="黑体" w:eastAsia="宋体"/>
                <w:szCs w:val="21"/>
                <w:lang w:val="en-US" w:eastAsia="zh-CN"/>
              </w:rPr>
            </w:pPr>
          </w:p>
        </w:tc>
        <w:tc>
          <w:tcPr>
            <w:tcW w:w="1260" w:type="dxa"/>
            <w:noWrap w:val="0"/>
            <w:vAlign w:val="center"/>
          </w:tcPr>
          <w:p w14:paraId="4BEB7B22">
            <w:pPr>
              <w:jc w:val="center"/>
              <w:rPr>
                <w:rFonts w:hint="eastAsia" w:ascii="黑体"/>
                <w:kern w:val="2"/>
                <w:sz w:val="21"/>
                <w:szCs w:val="21"/>
                <w:lang w:val="en-US" w:eastAsia="zh-CN" w:bidi="ar-SA"/>
              </w:rPr>
            </w:pPr>
          </w:p>
        </w:tc>
        <w:tc>
          <w:tcPr>
            <w:tcW w:w="1050" w:type="dxa"/>
            <w:noWrap w:val="0"/>
            <w:vAlign w:val="center"/>
          </w:tcPr>
          <w:p w14:paraId="6282035C">
            <w:pPr>
              <w:jc w:val="center"/>
              <w:rPr>
                <w:rFonts w:hint="eastAsia" w:ascii="黑体"/>
                <w:kern w:val="2"/>
                <w:sz w:val="21"/>
                <w:szCs w:val="21"/>
                <w:lang w:val="en-US" w:eastAsia="zh-CN" w:bidi="ar-SA"/>
              </w:rPr>
            </w:pPr>
          </w:p>
        </w:tc>
        <w:tc>
          <w:tcPr>
            <w:tcW w:w="1149" w:type="dxa"/>
            <w:noWrap w:val="0"/>
            <w:vAlign w:val="center"/>
          </w:tcPr>
          <w:p w14:paraId="776DA6D6">
            <w:pPr>
              <w:jc w:val="center"/>
              <w:rPr>
                <w:rFonts w:hint="default" w:ascii="黑体" w:eastAsia="宋体"/>
                <w:sz w:val="18"/>
                <w:szCs w:val="18"/>
                <w:lang w:val="en-US" w:eastAsia="zh-CN"/>
              </w:rPr>
            </w:pPr>
          </w:p>
        </w:tc>
      </w:tr>
      <w:tr w14:paraId="106A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948" w:type="dxa"/>
            <w:noWrap w:val="0"/>
            <w:vAlign w:val="center"/>
          </w:tcPr>
          <w:p w14:paraId="29F313E8">
            <w:pPr>
              <w:jc w:val="center"/>
              <w:rPr>
                <w:rFonts w:hint="eastAsia" w:ascii="黑体"/>
                <w:szCs w:val="21"/>
              </w:rPr>
            </w:pPr>
          </w:p>
        </w:tc>
        <w:tc>
          <w:tcPr>
            <w:tcW w:w="1470" w:type="dxa"/>
            <w:noWrap w:val="0"/>
            <w:vAlign w:val="center"/>
          </w:tcPr>
          <w:p w14:paraId="19A9C861">
            <w:pPr>
              <w:jc w:val="center"/>
              <w:rPr>
                <w:rFonts w:hint="eastAsia" w:ascii="黑体"/>
                <w:szCs w:val="21"/>
              </w:rPr>
            </w:pPr>
          </w:p>
        </w:tc>
        <w:tc>
          <w:tcPr>
            <w:tcW w:w="3675" w:type="dxa"/>
            <w:noWrap w:val="0"/>
            <w:vAlign w:val="center"/>
          </w:tcPr>
          <w:p w14:paraId="632EE81E">
            <w:pPr>
              <w:jc w:val="center"/>
              <w:rPr>
                <w:rFonts w:hint="eastAsia" w:ascii="黑体"/>
                <w:szCs w:val="21"/>
              </w:rPr>
            </w:pPr>
          </w:p>
        </w:tc>
        <w:tc>
          <w:tcPr>
            <w:tcW w:w="1260" w:type="dxa"/>
            <w:noWrap w:val="0"/>
            <w:vAlign w:val="center"/>
          </w:tcPr>
          <w:p w14:paraId="44777D81">
            <w:pPr>
              <w:jc w:val="center"/>
              <w:rPr>
                <w:rFonts w:hint="eastAsia" w:ascii="黑体"/>
                <w:szCs w:val="21"/>
              </w:rPr>
            </w:pPr>
          </w:p>
        </w:tc>
        <w:tc>
          <w:tcPr>
            <w:tcW w:w="1050" w:type="dxa"/>
            <w:noWrap w:val="0"/>
            <w:vAlign w:val="center"/>
          </w:tcPr>
          <w:p w14:paraId="39C9F782">
            <w:pPr>
              <w:jc w:val="center"/>
              <w:rPr>
                <w:rFonts w:hint="eastAsia" w:ascii="黑体"/>
                <w:szCs w:val="21"/>
              </w:rPr>
            </w:pPr>
          </w:p>
        </w:tc>
        <w:tc>
          <w:tcPr>
            <w:tcW w:w="1149" w:type="dxa"/>
            <w:noWrap w:val="0"/>
            <w:vAlign w:val="center"/>
          </w:tcPr>
          <w:p w14:paraId="683BE001">
            <w:pPr>
              <w:jc w:val="center"/>
              <w:rPr>
                <w:rFonts w:hint="eastAsia" w:ascii="黑体"/>
                <w:szCs w:val="21"/>
              </w:rPr>
            </w:pPr>
          </w:p>
        </w:tc>
      </w:tr>
      <w:tr w14:paraId="3FD51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948" w:type="dxa"/>
            <w:noWrap w:val="0"/>
            <w:vAlign w:val="center"/>
          </w:tcPr>
          <w:p w14:paraId="276B84A1">
            <w:pPr>
              <w:jc w:val="center"/>
              <w:rPr>
                <w:rFonts w:hint="eastAsia" w:ascii="黑体"/>
                <w:szCs w:val="21"/>
              </w:rPr>
            </w:pPr>
          </w:p>
        </w:tc>
        <w:tc>
          <w:tcPr>
            <w:tcW w:w="1470" w:type="dxa"/>
            <w:noWrap w:val="0"/>
            <w:vAlign w:val="center"/>
          </w:tcPr>
          <w:p w14:paraId="2B079DE3">
            <w:pPr>
              <w:jc w:val="center"/>
              <w:rPr>
                <w:rFonts w:hint="eastAsia" w:ascii="黑体"/>
                <w:szCs w:val="21"/>
              </w:rPr>
            </w:pPr>
          </w:p>
        </w:tc>
        <w:tc>
          <w:tcPr>
            <w:tcW w:w="3675" w:type="dxa"/>
            <w:noWrap w:val="0"/>
            <w:vAlign w:val="center"/>
          </w:tcPr>
          <w:p w14:paraId="70C6A98F">
            <w:pPr>
              <w:jc w:val="center"/>
              <w:rPr>
                <w:rFonts w:hint="eastAsia" w:ascii="黑体"/>
                <w:szCs w:val="21"/>
              </w:rPr>
            </w:pPr>
          </w:p>
        </w:tc>
        <w:tc>
          <w:tcPr>
            <w:tcW w:w="1260" w:type="dxa"/>
            <w:noWrap w:val="0"/>
            <w:vAlign w:val="center"/>
          </w:tcPr>
          <w:p w14:paraId="1F8991FB">
            <w:pPr>
              <w:jc w:val="center"/>
              <w:rPr>
                <w:rFonts w:hint="eastAsia" w:ascii="黑体"/>
                <w:szCs w:val="21"/>
              </w:rPr>
            </w:pPr>
          </w:p>
        </w:tc>
        <w:tc>
          <w:tcPr>
            <w:tcW w:w="1050" w:type="dxa"/>
            <w:noWrap w:val="0"/>
            <w:vAlign w:val="center"/>
          </w:tcPr>
          <w:p w14:paraId="1CBADD8E">
            <w:pPr>
              <w:jc w:val="center"/>
              <w:rPr>
                <w:rFonts w:hint="eastAsia" w:ascii="黑体"/>
                <w:szCs w:val="21"/>
              </w:rPr>
            </w:pPr>
          </w:p>
        </w:tc>
        <w:tc>
          <w:tcPr>
            <w:tcW w:w="1149" w:type="dxa"/>
            <w:noWrap w:val="0"/>
            <w:vAlign w:val="center"/>
          </w:tcPr>
          <w:p w14:paraId="191A2E1B">
            <w:pPr>
              <w:jc w:val="center"/>
              <w:rPr>
                <w:rFonts w:hint="eastAsia" w:ascii="黑体"/>
                <w:szCs w:val="21"/>
              </w:rPr>
            </w:pPr>
          </w:p>
        </w:tc>
      </w:tr>
      <w:tr w14:paraId="4BF68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948" w:type="dxa"/>
            <w:noWrap w:val="0"/>
            <w:vAlign w:val="center"/>
          </w:tcPr>
          <w:p w14:paraId="227400AA">
            <w:pPr>
              <w:jc w:val="center"/>
              <w:rPr>
                <w:rFonts w:hint="eastAsia" w:ascii="黑体"/>
                <w:szCs w:val="21"/>
              </w:rPr>
            </w:pPr>
          </w:p>
        </w:tc>
        <w:tc>
          <w:tcPr>
            <w:tcW w:w="1470" w:type="dxa"/>
            <w:noWrap w:val="0"/>
            <w:vAlign w:val="center"/>
          </w:tcPr>
          <w:p w14:paraId="4651D059">
            <w:pPr>
              <w:jc w:val="center"/>
              <w:rPr>
                <w:rFonts w:hint="eastAsia" w:ascii="黑体"/>
                <w:szCs w:val="21"/>
              </w:rPr>
            </w:pPr>
          </w:p>
        </w:tc>
        <w:tc>
          <w:tcPr>
            <w:tcW w:w="3675" w:type="dxa"/>
            <w:noWrap w:val="0"/>
            <w:vAlign w:val="center"/>
          </w:tcPr>
          <w:p w14:paraId="3CF3FE69">
            <w:pPr>
              <w:jc w:val="center"/>
              <w:rPr>
                <w:rFonts w:hint="eastAsia" w:ascii="黑体"/>
                <w:szCs w:val="21"/>
              </w:rPr>
            </w:pPr>
          </w:p>
        </w:tc>
        <w:tc>
          <w:tcPr>
            <w:tcW w:w="1260" w:type="dxa"/>
            <w:noWrap w:val="0"/>
            <w:vAlign w:val="center"/>
          </w:tcPr>
          <w:p w14:paraId="22901B3B">
            <w:pPr>
              <w:jc w:val="center"/>
              <w:rPr>
                <w:rFonts w:hint="eastAsia" w:ascii="黑体"/>
                <w:szCs w:val="21"/>
              </w:rPr>
            </w:pPr>
          </w:p>
        </w:tc>
        <w:tc>
          <w:tcPr>
            <w:tcW w:w="1050" w:type="dxa"/>
            <w:noWrap w:val="0"/>
            <w:vAlign w:val="center"/>
          </w:tcPr>
          <w:p w14:paraId="2B2ECC16">
            <w:pPr>
              <w:jc w:val="center"/>
              <w:rPr>
                <w:rFonts w:hint="eastAsia" w:ascii="黑体"/>
                <w:szCs w:val="21"/>
              </w:rPr>
            </w:pPr>
          </w:p>
        </w:tc>
        <w:tc>
          <w:tcPr>
            <w:tcW w:w="1149" w:type="dxa"/>
            <w:noWrap w:val="0"/>
            <w:vAlign w:val="center"/>
          </w:tcPr>
          <w:p w14:paraId="3C6F406A">
            <w:pPr>
              <w:jc w:val="center"/>
              <w:rPr>
                <w:rFonts w:hint="eastAsia" w:ascii="黑体"/>
                <w:szCs w:val="21"/>
              </w:rPr>
            </w:pPr>
          </w:p>
        </w:tc>
      </w:tr>
      <w:tr w14:paraId="1101F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948" w:type="dxa"/>
            <w:noWrap w:val="0"/>
            <w:vAlign w:val="center"/>
          </w:tcPr>
          <w:p w14:paraId="3E1A6CC8">
            <w:pPr>
              <w:jc w:val="center"/>
              <w:rPr>
                <w:rFonts w:hint="eastAsia" w:ascii="黑体"/>
                <w:szCs w:val="21"/>
              </w:rPr>
            </w:pPr>
          </w:p>
        </w:tc>
        <w:tc>
          <w:tcPr>
            <w:tcW w:w="1470" w:type="dxa"/>
            <w:noWrap w:val="0"/>
            <w:vAlign w:val="center"/>
          </w:tcPr>
          <w:p w14:paraId="5D914B32">
            <w:pPr>
              <w:jc w:val="center"/>
              <w:rPr>
                <w:rFonts w:hint="eastAsia" w:ascii="黑体"/>
                <w:szCs w:val="21"/>
              </w:rPr>
            </w:pPr>
          </w:p>
        </w:tc>
        <w:tc>
          <w:tcPr>
            <w:tcW w:w="3675" w:type="dxa"/>
            <w:noWrap w:val="0"/>
            <w:vAlign w:val="center"/>
          </w:tcPr>
          <w:p w14:paraId="4CC00A02">
            <w:pPr>
              <w:jc w:val="center"/>
              <w:rPr>
                <w:rFonts w:hint="eastAsia" w:ascii="黑体"/>
                <w:szCs w:val="21"/>
              </w:rPr>
            </w:pPr>
          </w:p>
        </w:tc>
        <w:tc>
          <w:tcPr>
            <w:tcW w:w="1260" w:type="dxa"/>
            <w:noWrap w:val="0"/>
            <w:vAlign w:val="center"/>
          </w:tcPr>
          <w:p w14:paraId="5A2887C6">
            <w:pPr>
              <w:jc w:val="center"/>
              <w:rPr>
                <w:rFonts w:hint="eastAsia" w:ascii="黑体"/>
                <w:szCs w:val="21"/>
              </w:rPr>
            </w:pPr>
          </w:p>
        </w:tc>
        <w:tc>
          <w:tcPr>
            <w:tcW w:w="1050" w:type="dxa"/>
            <w:noWrap w:val="0"/>
            <w:vAlign w:val="center"/>
          </w:tcPr>
          <w:p w14:paraId="3EDCE0E0">
            <w:pPr>
              <w:jc w:val="center"/>
              <w:rPr>
                <w:rFonts w:hint="eastAsia" w:ascii="黑体"/>
                <w:szCs w:val="21"/>
              </w:rPr>
            </w:pPr>
          </w:p>
        </w:tc>
        <w:tc>
          <w:tcPr>
            <w:tcW w:w="1149" w:type="dxa"/>
            <w:noWrap w:val="0"/>
            <w:vAlign w:val="center"/>
          </w:tcPr>
          <w:p w14:paraId="390D9087">
            <w:pPr>
              <w:jc w:val="center"/>
              <w:rPr>
                <w:rFonts w:hint="eastAsia" w:ascii="黑体"/>
                <w:szCs w:val="21"/>
              </w:rPr>
            </w:pPr>
          </w:p>
        </w:tc>
      </w:tr>
      <w:tr w14:paraId="74F77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948" w:type="dxa"/>
            <w:noWrap w:val="0"/>
            <w:vAlign w:val="center"/>
          </w:tcPr>
          <w:p w14:paraId="445B81E7">
            <w:pPr>
              <w:jc w:val="center"/>
              <w:rPr>
                <w:rFonts w:hint="eastAsia" w:ascii="黑体"/>
                <w:szCs w:val="21"/>
              </w:rPr>
            </w:pPr>
          </w:p>
        </w:tc>
        <w:tc>
          <w:tcPr>
            <w:tcW w:w="1470" w:type="dxa"/>
            <w:noWrap w:val="0"/>
            <w:vAlign w:val="center"/>
          </w:tcPr>
          <w:p w14:paraId="41CFAB5E">
            <w:pPr>
              <w:jc w:val="center"/>
              <w:rPr>
                <w:rFonts w:hint="eastAsia" w:ascii="黑体"/>
                <w:szCs w:val="21"/>
              </w:rPr>
            </w:pPr>
          </w:p>
        </w:tc>
        <w:tc>
          <w:tcPr>
            <w:tcW w:w="3675" w:type="dxa"/>
            <w:noWrap w:val="0"/>
            <w:vAlign w:val="center"/>
          </w:tcPr>
          <w:p w14:paraId="67003FE9">
            <w:pPr>
              <w:jc w:val="center"/>
              <w:rPr>
                <w:rFonts w:hint="eastAsia" w:ascii="黑体"/>
                <w:szCs w:val="21"/>
              </w:rPr>
            </w:pPr>
          </w:p>
        </w:tc>
        <w:tc>
          <w:tcPr>
            <w:tcW w:w="1260" w:type="dxa"/>
            <w:noWrap w:val="0"/>
            <w:vAlign w:val="center"/>
          </w:tcPr>
          <w:p w14:paraId="05F48DB0">
            <w:pPr>
              <w:jc w:val="center"/>
              <w:rPr>
                <w:rFonts w:hint="eastAsia" w:ascii="黑体"/>
                <w:szCs w:val="21"/>
              </w:rPr>
            </w:pPr>
          </w:p>
        </w:tc>
        <w:tc>
          <w:tcPr>
            <w:tcW w:w="1050" w:type="dxa"/>
            <w:noWrap w:val="0"/>
            <w:vAlign w:val="center"/>
          </w:tcPr>
          <w:p w14:paraId="4F75577B">
            <w:pPr>
              <w:jc w:val="center"/>
              <w:rPr>
                <w:rFonts w:hint="eastAsia" w:ascii="黑体"/>
                <w:szCs w:val="21"/>
              </w:rPr>
            </w:pPr>
          </w:p>
        </w:tc>
        <w:tc>
          <w:tcPr>
            <w:tcW w:w="1149" w:type="dxa"/>
            <w:noWrap w:val="0"/>
            <w:vAlign w:val="center"/>
          </w:tcPr>
          <w:p w14:paraId="767B8388">
            <w:pPr>
              <w:jc w:val="center"/>
              <w:rPr>
                <w:rFonts w:hint="eastAsia" w:ascii="黑体"/>
                <w:szCs w:val="21"/>
              </w:rPr>
            </w:pPr>
          </w:p>
        </w:tc>
      </w:tr>
      <w:tr w14:paraId="3C732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948" w:type="dxa"/>
            <w:noWrap w:val="0"/>
            <w:vAlign w:val="center"/>
          </w:tcPr>
          <w:p w14:paraId="2CE2906A">
            <w:pPr>
              <w:jc w:val="center"/>
              <w:rPr>
                <w:rFonts w:hint="eastAsia" w:ascii="黑体"/>
                <w:szCs w:val="21"/>
              </w:rPr>
            </w:pPr>
          </w:p>
        </w:tc>
        <w:tc>
          <w:tcPr>
            <w:tcW w:w="1470" w:type="dxa"/>
            <w:noWrap w:val="0"/>
            <w:vAlign w:val="center"/>
          </w:tcPr>
          <w:p w14:paraId="50B35815">
            <w:pPr>
              <w:jc w:val="center"/>
              <w:rPr>
                <w:rFonts w:hint="eastAsia" w:ascii="黑体"/>
                <w:szCs w:val="21"/>
              </w:rPr>
            </w:pPr>
          </w:p>
        </w:tc>
        <w:tc>
          <w:tcPr>
            <w:tcW w:w="3675" w:type="dxa"/>
            <w:noWrap w:val="0"/>
            <w:vAlign w:val="center"/>
          </w:tcPr>
          <w:p w14:paraId="70B9E7B3">
            <w:pPr>
              <w:jc w:val="center"/>
              <w:rPr>
                <w:rFonts w:hint="eastAsia" w:ascii="黑体"/>
                <w:szCs w:val="21"/>
              </w:rPr>
            </w:pPr>
          </w:p>
        </w:tc>
        <w:tc>
          <w:tcPr>
            <w:tcW w:w="1260" w:type="dxa"/>
            <w:noWrap w:val="0"/>
            <w:vAlign w:val="center"/>
          </w:tcPr>
          <w:p w14:paraId="2217F21E">
            <w:pPr>
              <w:jc w:val="center"/>
              <w:rPr>
                <w:rFonts w:hint="eastAsia" w:ascii="黑体"/>
                <w:szCs w:val="21"/>
              </w:rPr>
            </w:pPr>
          </w:p>
        </w:tc>
        <w:tc>
          <w:tcPr>
            <w:tcW w:w="1050" w:type="dxa"/>
            <w:noWrap w:val="0"/>
            <w:vAlign w:val="center"/>
          </w:tcPr>
          <w:p w14:paraId="3398523A">
            <w:pPr>
              <w:jc w:val="center"/>
              <w:rPr>
                <w:rFonts w:hint="eastAsia" w:ascii="黑体"/>
                <w:szCs w:val="21"/>
              </w:rPr>
            </w:pPr>
          </w:p>
        </w:tc>
        <w:tc>
          <w:tcPr>
            <w:tcW w:w="1149" w:type="dxa"/>
            <w:noWrap w:val="0"/>
            <w:vAlign w:val="center"/>
          </w:tcPr>
          <w:p w14:paraId="3A84DEFE">
            <w:pPr>
              <w:jc w:val="center"/>
              <w:rPr>
                <w:rFonts w:hint="eastAsia" w:ascii="黑体"/>
                <w:szCs w:val="21"/>
              </w:rPr>
            </w:pPr>
          </w:p>
        </w:tc>
      </w:tr>
      <w:tr w14:paraId="32DFB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948" w:type="dxa"/>
            <w:noWrap w:val="0"/>
            <w:vAlign w:val="center"/>
          </w:tcPr>
          <w:p w14:paraId="5350B086">
            <w:pPr>
              <w:jc w:val="center"/>
              <w:rPr>
                <w:rFonts w:hint="eastAsia" w:ascii="黑体"/>
                <w:szCs w:val="21"/>
              </w:rPr>
            </w:pPr>
          </w:p>
        </w:tc>
        <w:tc>
          <w:tcPr>
            <w:tcW w:w="1470" w:type="dxa"/>
            <w:noWrap w:val="0"/>
            <w:vAlign w:val="center"/>
          </w:tcPr>
          <w:p w14:paraId="36883BB4">
            <w:pPr>
              <w:jc w:val="center"/>
              <w:rPr>
                <w:rFonts w:hint="eastAsia" w:ascii="黑体"/>
                <w:szCs w:val="21"/>
              </w:rPr>
            </w:pPr>
          </w:p>
        </w:tc>
        <w:tc>
          <w:tcPr>
            <w:tcW w:w="3675" w:type="dxa"/>
            <w:noWrap w:val="0"/>
            <w:vAlign w:val="center"/>
          </w:tcPr>
          <w:p w14:paraId="1867E35A">
            <w:pPr>
              <w:jc w:val="center"/>
              <w:rPr>
                <w:rFonts w:hint="eastAsia" w:ascii="黑体"/>
                <w:szCs w:val="21"/>
              </w:rPr>
            </w:pPr>
          </w:p>
        </w:tc>
        <w:tc>
          <w:tcPr>
            <w:tcW w:w="1260" w:type="dxa"/>
            <w:noWrap w:val="0"/>
            <w:vAlign w:val="center"/>
          </w:tcPr>
          <w:p w14:paraId="684B7084">
            <w:pPr>
              <w:jc w:val="center"/>
              <w:rPr>
                <w:rFonts w:hint="eastAsia" w:ascii="黑体"/>
                <w:szCs w:val="21"/>
              </w:rPr>
            </w:pPr>
          </w:p>
        </w:tc>
        <w:tc>
          <w:tcPr>
            <w:tcW w:w="1050" w:type="dxa"/>
            <w:noWrap w:val="0"/>
            <w:vAlign w:val="center"/>
          </w:tcPr>
          <w:p w14:paraId="4106B579">
            <w:pPr>
              <w:jc w:val="center"/>
              <w:rPr>
                <w:rFonts w:hint="eastAsia" w:ascii="黑体"/>
                <w:szCs w:val="21"/>
              </w:rPr>
            </w:pPr>
          </w:p>
        </w:tc>
        <w:tc>
          <w:tcPr>
            <w:tcW w:w="1149" w:type="dxa"/>
            <w:noWrap w:val="0"/>
            <w:vAlign w:val="center"/>
          </w:tcPr>
          <w:p w14:paraId="7F9BCF8C">
            <w:pPr>
              <w:jc w:val="center"/>
              <w:rPr>
                <w:rFonts w:hint="eastAsia" w:ascii="黑体"/>
                <w:szCs w:val="21"/>
              </w:rPr>
            </w:pPr>
          </w:p>
        </w:tc>
      </w:tr>
      <w:tr w14:paraId="56DE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948" w:type="dxa"/>
            <w:noWrap w:val="0"/>
            <w:vAlign w:val="center"/>
          </w:tcPr>
          <w:p w14:paraId="6D5F1C09">
            <w:pPr>
              <w:jc w:val="center"/>
              <w:rPr>
                <w:rFonts w:hint="eastAsia" w:ascii="黑体"/>
                <w:szCs w:val="21"/>
              </w:rPr>
            </w:pPr>
          </w:p>
        </w:tc>
        <w:tc>
          <w:tcPr>
            <w:tcW w:w="1470" w:type="dxa"/>
            <w:noWrap w:val="0"/>
            <w:vAlign w:val="center"/>
          </w:tcPr>
          <w:p w14:paraId="239E31EF">
            <w:pPr>
              <w:jc w:val="center"/>
              <w:rPr>
                <w:rFonts w:hint="eastAsia" w:ascii="黑体"/>
                <w:szCs w:val="21"/>
              </w:rPr>
            </w:pPr>
          </w:p>
        </w:tc>
        <w:tc>
          <w:tcPr>
            <w:tcW w:w="3675" w:type="dxa"/>
            <w:noWrap w:val="0"/>
            <w:vAlign w:val="center"/>
          </w:tcPr>
          <w:p w14:paraId="3DACE365">
            <w:pPr>
              <w:jc w:val="center"/>
              <w:rPr>
                <w:rFonts w:hint="eastAsia" w:ascii="黑体"/>
                <w:szCs w:val="21"/>
              </w:rPr>
            </w:pPr>
          </w:p>
        </w:tc>
        <w:tc>
          <w:tcPr>
            <w:tcW w:w="1260" w:type="dxa"/>
            <w:noWrap w:val="0"/>
            <w:vAlign w:val="center"/>
          </w:tcPr>
          <w:p w14:paraId="09BEDD45">
            <w:pPr>
              <w:jc w:val="center"/>
              <w:rPr>
                <w:rFonts w:hint="eastAsia" w:ascii="黑体"/>
                <w:szCs w:val="21"/>
              </w:rPr>
            </w:pPr>
          </w:p>
        </w:tc>
        <w:tc>
          <w:tcPr>
            <w:tcW w:w="1050" w:type="dxa"/>
            <w:noWrap w:val="0"/>
            <w:vAlign w:val="center"/>
          </w:tcPr>
          <w:p w14:paraId="118552AF">
            <w:pPr>
              <w:jc w:val="center"/>
              <w:rPr>
                <w:rFonts w:hint="eastAsia" w:ascii="黑体"/>
                <w:szCs w:val="21"/>
              </w:rPr>
            </w:pPr>
          </w:p>
        </w:tc>
        <w:tc>
          <w:tcPr>
            <w:tcW w:w="1149" w:type="dxa"/>
            <w:noWrap w:val="0"/>
            <w:vAlign w:val="center"/>
          </w:tcPr>
          <w:p w14:paraId="5EA19715">
            <w:pPr>
              <w:jc w:val="center"/>
              <w:rPr>
                <w:rFonts w:hint="eastAsia" w:ascii="黑体"/>
                <w:szCs w:val="21"/>
              </w:rPr>
            </w:pPr>
          </w:p>
        </w:tc>
      </w:tr>
      <w:tr w14:paraId="6D119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948" w:type="dxa"/>
            <w:noWrap w:val="0"/>
            <w:vAlign w:val="center"/>
          </w:tcPr>
          <w:p w14:paraId="5585B889">
            <w:pPr>
              <w:jc w:val="center"/>
              <w:rPr>
                <w:rFonts w:hint="eastAsia" w:ascii="黑体"/>
                <w:szCs w:val="21"/>
              </w:rPr>
            </w:pPr>
          </w:p>
        </w:tc>
        <w:tc>
          <w:tcPr>
            <w:tcW w:w="1470" w:type="dxa"/>
            <w:noWrap w:val="0"/>
            <w:vAlign w:val="center"/>
          </w:tcPr>
          <w:p w14:paraId="3333E5D8">
            <w:pPr>
              <w:jc w:val="center"/>
              <w:rPr>
                <w:rFonts w:hint="eastAsia" w:ascii="黑体"/>
                <w:szCs w:val="21"/>
              </w:rPr>
            </w:pPr>
          </w:p>
        </w:tc>
        <w:tc>
          <w:tcPr>
            <w:tcW w:w="3675" w:type="dxa"/>
            <w:noWrap w:val="0"/>
            <w:vAlign w:val="center"/>
          </w:tcPr>
          <w:p w14:paraId="126684B2">
            <w:pPr>
              <w:jc w:val="center"/>
              <w:rPr>
                <w:rFonts w:hint="eastAsia" w:ascii="黑体"/>
                <w:szCs w:val="21"/>
              </w:rPr>
            </w:pPr>
          </w:p>
        </w:tc>
        <w:tc>
          <w:tcPr>
            <w:tcW w:w="1260" w:type="dxa"/>
            <w:noWrap w:val="0"/>
            <w:vAlign w:val="center"/>
          </w:tcPr>
          <w:p w14:paraId="6B9F7F56">
            <w:pPr>
              <w:jc w:val="center"/>
              <w:rPr>
                <w:rFonts w:hint="eastAsia" w:ascii="黑体"/>
                <w:szCs w:val="21"/>
              </w:rPr>
            </w:pPr>
          </w:p>
        </w:tc>
        <w:tc>
          <w:tcPr>
            <w:tcW w:w="1050" w:type="dxa"/>
            <w:noWrap w:val="0"/>
            <w:vAlign w:val="center"/>
          </w:tcPr>
          <w:p w14:paraId="5EEE9AEE">
            <w:pPr>
              <w:jc w:val="center"/>
              <w:rPr>
                <w:rFonts w:hint="eastAsia" w:ascii="黑体"/>
                <w:szCs w:val="21"/>
              </w:rPr>
            </w:pPr>
          </w:p>
        </w:tc>
        <w:tc>
          <w:tcPr>
            <w:tcW w:w="1149" w:type="dxa"/>
            <w:noWrap w:val="0"/>
            <w:vAlign w:val="center"/>
          </w:tcPr>
          <w:p w14:paraId="74539273">
            <w:pPr>
              <w:jc w:val="center"/>
              <w:rPr>
                <w:rFonts w:hint="eastAsia" w:ascii="黑体"/>
                <w:szCs w:val="21"/>
              </w:rPr>
            </w:pPr>
          </w:p>
        </w:tc>
      </w:tr>
      <w:tr w14:paraId="0E8C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948" w:type="dxa"/>
            <w:noWrap w:val="0"/>
            <w:vAlign w:val="center"/>
          </w:tcPr>
          <w:p w14:paraId="6A820A09">
            <w:pPr>
              <w:jc w:val="center"/>
              <w:rPr>
                <w:rFonts w:hint="eastAsia" w:ascii="黑体"/>
                <w:szCs w:val="21"/>
              </w:rPr>
            </w:pPr>
          </w:p>
        </w:tc>
        <w:tc>
          <w:tcPr>
            <w:tcW w:w="1470" w:type="dxa"/>
            <w:noWrap w:val="0"/>
            <w:vAlign w:val="center"/>
          </w:tcPr>
          <w:p w14:paraId="0E543C4F">
            <w:pPr>
              <w:jc w:val="center"/>
              <w:rPr>
                <w:rFonts w:hint="eastAsia" w:ascii="黑体"/>
                <w:szCs w:val="21"/>
              </w:rPr>
            </w:pPr>
          </w:p>
        </w:tc>
        <w:tc>
          <w:tcPr>
            <w:tcW w:w="3675" w:type="dxa"/>
            <w:noWrap w:val="0"/>
            <w:vAlign w:val="center"/>
          </w:tcPr>
          <w:p w14:paraId="3124CE27">
            <w:pPr>
              <w:jc w:val="center"/>
              <w:rPr>
                <w:rFonts w:hint="eastAsia" w:ascii="黑体"/>
                <w:szCs w:val="21"/>
              </w:rPr>
            </w:pPr>
          </w:p>
        </w:tc>
        <w:tc>
          <w:tcPr>
            <w:tcW w:w="1260" w:type="dxa"/>
            <w:noWrap w:val="0"/>
            <w:vAlign w:val="center"/>
          </w:tcPr>
          <w:p w14:paraId="416A7F99">
            <w:pPr>
              <w:jc w:val="center"/>
              <w:rPr>
                <w:rFonts w:hint="eastAsia" w:ascii="黑体"/>
                <w:szCs w:val="21"/>
              </w:rPr>
            </w:pPr>
          </w:p>
        </w:tc>
        <w:tc>
          <w:tcPr>
            <w:tcW w:w="1050" w:type="dxa"/>
            <w:noWrap w:val="0"/>
            <w:vAlign w:val="center"/>
          </w:tcPr>
          <w:p w14:paraId="07A29A63">
            <w:pPr>
              <w:jc w:val="center"/>
              <w:rPr>
                <w:rFonts w:hint="eastAsia" w:ascii="黑体"/>
                <w:szCs w:val="21"/>
              </w:rPr>
            </w:pPr>
          </w:p>
        </w:tc>
        <w:tc>
          <w:tcPr>
            <w:tcW w:w="1149" w:type="dxa"/>
            <w:noWrap w:val="0"/>
            <w:vAlign w:val="center"/>
          </w:tcPr>
          <w:p w14:paraId="644D22DD">
            <w:pPr>
              <w:jc w:val="center"/>
              <w:rPr>
                <w:rFonts w:hint="eastAsia" w:ascii="黑体"/>
                <w:szCs w:val="21"/>
              </w:rPr>
            </w:pPr>
          </w:p>
        </w:tc>
      </w:tr>
      <w:tr w14:paraId="4FE81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948" w:type="dxa"/>
            <w:noWrap w:val="0"/>
            <w:vAlign w:val="center"/>
          </w:tcPr>
          <w:p w14:paraId="7D3F065A">
            <w:pPr>
              <w:jc w:val="center"/>
              <w:rPr>
                <w:rFonts w:hint="eastAsia" w:ascii="黑体"/>
                <w:szCs w:val="21"/>
              </w:rPr>
            </w:pPr>
          </w:p>
        </w:tc>
        <w:tc>
          <w:tcPr>
            <w:tcW w:w="1470" w:type="dxa"/>
            <w:noWrap w:val="0"/>
            <w:vAlign w:val="center"/>
          </w:tcPr>
          <w:p w14:paraId="3171FDC1">
            <w:pPr>
              <w:jc w:val="center"/>
              <w:rPr>
                <w:rFonts w:hint="eastAsia" w:ascii="黑体"/>
                <w:szCs w:val="21"/>
              </w:rPr>
            </w:pPr>
          </w:p>
        </w:tc>
        <w:tc>
          <w:tcPr>
            <w:tcW w:w="3675" w:type="dxa"/>
            <w:noWrap w:val="0"/>
            <w:vAlign w:val="center"/>
          </w:tcPr>
          <w:p w14:paraId="3EA1C204">
            <w:pPr>
              <w:jc w:val="center"/>
              <w:rPr>
                <w:rFonts w:hint="eastAsia" w:ascii="黑体"/>
                <w:szCs w:val="21"/>
              </w:rPr>
            </w:pPr>
          </w:p>
        </w:tc>
        <w:tc>
          <w:tcPr>
            <w:tcW w:w="1260" w:type="dxa"/>
            <w:noWrap w:val="0"/>
            <w:vAlign w:val="center"/>
          </w:tcPr>
          <w:p w14:paraId="5223905B">
            <w:pPr>
              <w:jc w:val="center"/>
              <w:rPr>
                <w:rFonts w:hint="eastAsia" w:ascii="黑体"/>
                <w:szCs w:val="21"/>
              </w:rPr>
            </w:pPr>
          </w:p>
        </w:tc>
        <w:tc>
          <w:tcPr>
            <w:tcW w:w="1050" w:type="dxa"/>
            <w:noWrap w:val="0"/>
            <w:vAlign w:val="center"/>
          </w:tcPr>
          <w:p w14:paraId="5663A06D">
            <w:pPr>
              <w:jc w:val="center"/>
              <w:rPr>
                <w:rFonts w:hint="eastAsia" w:ascii="黑体"/>
                <w:szCs w:val="21"/>
              </w:rPr>
            </w:pPr>
          </w:p>
        </w:tc>
        <w:tc>
          <w:tcPr>
            <w:tcW w:w="1149" w:type="dxa"/>
            <w:noWrap w:val="0"/>
            <w:vAlign w:val="center"/>
          </w:tcPr>
          <w:p w14:paraId="1FFE3443">
            <w:pPr>
              <w:jc w:val="center"/>
              <w:rPr>
                <w:rFonts w:hint="eastAsia" w:ascii="黑体"/>
                <w:szCs w:val="21"/>
              </w:rPr>
            </w:pPr>
          </w:p>
        </w:tc>
      </w:tr>
    </w:tbl>
    <w:p w14:paraId="59AE2F62">
      <w:pPr>
        <w:rPr>
          <w:rFonts w:hint="eastAsia" w:ascii="黑体"/>
          <w:sz w:val="30"/>
          <w:szCs w:val="30"/>
          <w:lang w:val="zh-CN"/>
        </w:rPr>
      </w:pPr>
    </w:p>
    <w:p w14:paraId="2B6D0391">
      <w:pPr>
        <w:rPr>
          <w:rFonts w:hint="eastAsia" w:ascii="黑体"/>
          <w:sz w:val="30"/>
          <w:szCs w:val="30"/>
          <w:lang w:val="zh-CN"/>
        </w:rPr>
      </w:pPr>
    </w:p>
    <w:p w14:paraId="123D4DA9">
      <w:pPr>
        <w:rPr>
          <w:rFonts w:hint="eastAsia" w:ascii="黑体"/>
          <w:sz w:val="30"/>
          <w:szCs w:val="30"/>
          <w:lang w:val="zh-CN"/>
        </w:rPr>
      </w:pPr>
    </w:p>
    <w:p w14:paraId="5B42BF32">
      <w:pPr>
        <w:spacing w:line="360" w:lineRule="auto"/>
        <w:jc w:val="center"/>
        <w:rPr>
          <w:rFonts w:hint="eastAsia" w:ascii="黑体" w:eastAsia="黑体"/>
          <w:b/>
          <w:sz w:val="30"/>
          <w:szCs w:val="30"/>
          <w:lang w:val="zh-CN"/>
        </w:rPr>
      </w:pPr>
    </w:p>
    <w:p w14:paraId="3006E0B5">
      <w:pPr>
        <w:spacing w:line="360" w:lineRule="auto"/>
        <w:jc w:val="center"/>
        <w:rPr>
          <w:rFonts w:hint="eastAsia" w:ascii="黑体" w:eastAsia="黑体"/>
          <w:b/>
          <w:sz w:val="30"/>
          <w:szCs w:val="30"/>
          <w:lang w:val="zh-CN"/>
        </w:rPr>
      </w:pPr>
    </w:p>
    <w:p w14:paraId="4BA8CF18">
      <w:pPr>
        <w:spacing w:line="360" w:lineRule="auto"/>
        <w:jc w:val="center"/>
        <w:rPr>
          <w:rFonts w:hint="eastAsia" w:ascii="黑体" w:eastAsia="黑体"/>
          <w:b/>
          <w:sz w:val="30"/>
          <w:szCs w:val="30"/>
          <w:lang w:val="zh-CN"/>
        </w:rPr>
      </w:pPr>
      <w:r>
        <w:rPr>
          <w:rFonts w:hint="eastAsia" w:ascii="黑体" w:eastAsia="黑体"/>
          <w:b/>
          <w:sz w:val="30"/>
          <w:szCs w:val="30"/>
          <w:lang w:val="zh-CN"/>
        </w:rPr>
        <w:t>目  录</w:t>
      </w:r>
    </w:p>
    <w:p w14:paraId="768BF7A2">
      <w:pPr>
        <w:pStyle w:val="27"/>
        <w:tabs>
          <w:tab w:val="right" w:leader="dot" w:pos="8826"/>
          <w:tab w:val="clear" w:pos="8296"/>
        </w:tabs>
      </w:pPr>
      <w:r>
        <w:rPr>
          <w:rFonts w:hint="eastAsia" w:ascii="黑体" w:eastAsia="黑体"/>
          <w:b w:val="0"/>
          <w:sz w:val="30"/>
          <w:szCs w:val="30"/>
          <w:lang w:val="zh-CN"/>
        </w:rPr>
        <w:fldChar w:fldCharType="begin"/>
      </w:r>
      <w:r>
        <w:rPr>
          <w:rFonts w:hint="eastAsia" w:ascii="黑体" w:eastAsia="黑体"/>
          <w:b w:val="0"/>
          <w:sz w:val="30"/>
          <w:szCs w:val="30"/>
          <w:lang w:val="zh-CN"/>
        </w:rPr>
        <w:instrText xml:space="preserve">TOC \o "1-3" \h \u </w:instrText>
      </w:r>
      <w:r>
        <w:rPr>
          <w:rFonts w:hint="eastAsia" w:ascii="黑体" w:eastAsia="黑体"/>
          <w:b w:val="0"/>
          <w:sz w:val="30"/>
          <w:szCs w:val="30"/>
          <w:lang w:val="zh-CN"/>
        </w:rPr>
        <w:fldChar w:fldCharType="separate"/>
      </w:r>
      <w:r>
        <w:rPr>
          <w:rFonts w:hint="eastAsia" w:ascii="黑体" w:eastAsia="黑体"/>
          <w:szCs w:val="30"/>
          <w:lang w:val="zh-CN"/>
        </w:rPr>
        <w:fldChar w:fldCharType="begin"/>
      </w:r>
      <w:r>
        <w:rPr>
          <w:rFonts w:hint="eastAsia" w:ascii="黑体" w:eastAsia="黑体"/>
          <w:szCs w:val="30"/>
          <w:lang w:val="zh-CN"/>
        </w:rPr>
        <w:instrText xml:space="preserve"> HYPERLINK \l _Toc2443 </w:instrText>
      </w:r>
      <w:r>
        <w:rPr>
          <w:rFonts w:hint="eastAsia" w:ascii="黑体" w:eastAsia="黑体"/>
          <w:szCs w:val="30"/>
          <w:lang w:val="zh-CN"/>
        </w:rPr>
        <w:fldChar w:fldCharType="separate"/>
      </w:r>
      <w:r>
        <w:rPr>
          <w:rFonts w:hint="eastAsia"/>
          <w:lang w:eastAsia="zh-CN"/>
        </w:rPr>
        <w:t>前  言</w:t>
      </w:r>
      <w:r>
        <w:tab/>
      </w:r>
      <w:r>
        <w:fldChar w:fldCharType="begin"/>
      </w:r>
      <w:r>
        <w:instrText xml:space="preserve"> PAGEREF _Toc2443 </w:instrText>
      </w:r>
      <w:r>
        <w:fldChar w:fldCharType="separate"/>
      </w:r>
      <w:r>
        <w:t>6</w:t>
      </w:r>
      <w:r>
        <w:fldChar w:fldCharType="end"/>
      </w:r>
      <w:r>
        <w:rPr>
          <w:rFonts w:hint="eastAsia" w:ascii="黑体" w:eastAsia="黑体"/>
          <w:szCs w:val="30"/>
          <w:lang w:val="zh-CN"/>
        </w:rPr>
        <w:fldChar w:fldCharType="end"/>
      </w:r>
    </w:p>
    <w:p w14:paraId="0391E510">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_Toc22068 </w:instrText>
      </w:r>
      <w:r>
        <w:rPr>
          <w:rFonts w:hint="eastAsia" w:ascii="黑体" w:eastAsia="黑体"/>
          <w:szCs w:val="30"/>
          <w:lang w:val="zh-CN"/>
        </w:rPr>
        <w:fldChar w:fldCharType="separate"/>
      </w:r>
      <w:r>
        <w:rPr>
          <w:rFonts w:hint="eastAsia" w:ascii="黑体" w:hAnsi="宋体" w:eastAsia="黑体"/>
          <w:szCs w:val="30"/>
        </w:rPr>
        <w:t>0.1 企业概况</w:t>
      </w:r>
      <w:r>
        <w:tab/>
      </w:r>
      <w:r>
        <w:fldChar w:fldCharType="begin"/>
      </w:r>
      <w:r>
        <w:instrText xml:space="preserve"> PAGEREF _Toc22068 </w:instrText>
      </w:r>
      <w:r>
        <w:fldChar w:fldCharType="separate"/>
      </w:r>
      <w:r>
        <w:t>6</w:t>
      </w:r>
      <w:r>
        <w:fldChar w:fldCharType="end"/>
      </w:r>
      <w:r>
        <w:rPr>
          <w:rFonts w:hint="eastAsia" w:ascii="黑体" w:eastAsia="黑体"/>
          <w:szCs w:val="30"/>
          <w:lang w:val="zh-CN"/>
        </w:rPr>
        <w:fldChar w:fldCharType="end"/>
      </w:r>
    </w:p>
    <w:p w14:paraId="6CE5BF92">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_Toc31772 </w:instrText>
      </w:r>
      <w:r>
        <w:rPr>
          <w:rFonts w:hint="eastAsia" w:ascii="黑体" w:eastAsia="黑体"/>
          <w:szCs w:val="30"/>
          <w:lang w:val="zh-CN"/>
        </w:rPr>
        <w:fldChar w:fldCharType="separate"/>
      </w:r>
      <w:r>
        <w:rPr>
          <w:rFonts w:hint="eastAsia" w:ascii="黑体" w:hAnsi="宋体" w:eastAsia="黑体"/>
          <w:szCs w:val="30"/>
        </w:rPr>
        <w:t>0.2质量手册颁布令</w:t>
      </w:r>
      <w:r>
        <w:tab/>
      </w:r>
      <w:r>
        <w:fldChar w:fldCharType="begin"/>
      </w:r>
      <w:r>
        <w:instrText xml:space="preserve"> PAGEREF _Toc31772 </w:instrText>
      </w:r>
      <w:r>
        <w:fldChar w:fldCharType="separate"/>
      </w:r>
      <w:r>
        <w:t>7</w:t>
      </w:r>
      <w:r>
        <w:fldChar w:fldCharType="end"/>
      </w:r>
      <w:r>
        <w:rPr>
          <w:rFonts w:hint="eastAsia" w:ascii="黑体" w:eastAsia="黑体"/>
          <w:szCs w:val="30"/>
          <w:lang w:val="zh-CN"/>
        </w:rPr>
        <w:fldChar w:fldCharType="end"/>
      </w:r>
    </w:p>
    <w:p w14:paraId="1A90C0ED">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_Toc12328 </w:instrText>
      </w:r>
      <w:r>
        <w:rPr>
          <w:rFonts w:hint="eastAsia" w:ascii="黑体" w:eastAsia="黑体"/>
          <w:szCs w:val="30"/>
          <w:lang w:val="zh-CN"/>
        </w:rPr>
        <w:fldChar w:fldCharType="separate"/>
      </w:r>
      <w:r>
        <w:rPr>
          <w:rFonts w:hint="eastAsia" w:ascii="黑体" w:eastAsia="黑体"/>
          <w:szCs w:val="30"/>
        </w:rPr>
        <w:t>0.3质量方针颁布令</w:t>
      </w:r>
      <w:r>
        <w:tab/>
      </w:r>
      <w:r>
        <w:fldChar w:fldCharType="begin"/>
      </w:r>
      <w:r>
        <w:instrText xml:space="preserve"> PAGEREF _Toc12328 </w:instrText>
      </w:r>
      <w:r>
        <w:fldChar w:fldCharType="separate"/>
      </w:r>
      <w:r>
        <w:t>8</w:t>
      </w:r>
      <w:r>
        <w:fldChar w:fldCharType="end"/>
      </w:r>
      <w:r>
        <w:rPr>
          <w:rFonts w:hint="eastAsia" w:ascii="黑体" w:eastAsia="黑体"/>
          <w:szCs w:val="30"/>
          <w:lang w:val="zh-CN"/>
        </w:rPr>
        <w:fldChar w:fldCharType="end"/>
      </w:r>
    </w:p>
    <w:p w14:paraId="420215F4">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_Toc1637 </w:instrText>
      </w:r>
      <w:r>
        <w:rPr>
          <w:rFonts w:hint="eastAsia" w:ascii="黑体" w:eastAsia="黑体"/>
          <w:szCs w:val="30"/>
          <w:lang w:val="zh-CN"/>
        </w:rPr>
        <w:fldChar w:fldCharType="separate"/>
      </w:r>
      <w:r>
        <w:rPr>
          <w:rFonts w:hint="eastAsia" w:ascii="黑体" w:eastAsia="黑体"/>
          <w:szCs w:val="30"/>
        </w:rPr>
        <w:t>0.4质量目标颁布令</w:t>
      </w:r>
      <w:r>
        <w:tab/>
      </w:r>
      <w:r>
        <w:fldChar w:fldCharType="begin"/>
      </w:r>
      <w:r>
        <w:instrText xml:space="preserve"> PAGEREF _Toc1637 </w:instrText>
      </w:r>
      <w:r>
        <w:fldChar w:fldCharType="separate"/>
      </w:r>
      <w:r>
        <w:t>9</w:t>
      </w:r>
      <w:r>
        <w:fldChar w:fldCharType="end"/>
      </w:r>
      <w:r>
        <w:rPr>
          <w:rFonts w:hint="eastAsia" w:ascii="黑体" w:eastAsia="黑体"/>
          <w:szCs w:val="30"/>
          <w:lang w:val="zh-CN"/>
        </w:rPr>
        <w:fldChar w:fldCharType="end"/>
      </w:r>
    </w:p>
    <w:p w14:paraId="6CACF816">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_Toc16764 </w:instrText>
      </w:r>
      <w:r>
        <w:rPr>
          <w:rFonts w:hint="eastAsia" w:ascii="黑体" w:eastAsia="黑体"/>
          <w:szCs w:val="30"/>
          <w:lang w:val="zh-CN"/>
        </w:rPr>
        <w:fldChar w:fldCharType="separate"/>
      </w:r>
      <w:r>
        <w:rPr>
          <w:rFonts w:hint="eastAsia" w:ascii="黑体" w:eastAsia="黑体"/>
          <w:szCs w:val="30"/>
        </w:rPr>
        <w:t>0</w:t>
      </w:r>
      <w:r>
        <w:rPr>
          <w:rFonts w:ascii="黑体" w:eastAsia="黑体"/>
          <w:szCs w:val="30"/>
        </w:rPr>
        <w:t>.</w:t>
      </w:r>
      <w:r>
        <w:rPr>
          <w:rFonts w:hint="eastAsia" w:ascii="黑体" w:eastAsia="黑体"/>
          <w:szCs w:val="30"/>
        </w:rPr>
        <w:t>5管理者代表</w:t>
      </w:r>
      <w:r>
        <w:rPr>
          <w:rFonts w:ascii="黑体" w:eastAsia="黑体"/>
          <w:szCs w:val="30"/>
        </w:rPr>
        <w:t>任命书</w:t>
      </w:r>
      <w:r>
        <w:tab/>
      </w:r>
      <w:r>
        <w:fldChar w:fldCharType="begin"/>
      </w:r>
      <w:r>
        <w:instrText xml:space="preserve"> PAGEREF _Toc16764 </w:instrText>
      </w:r>
      <w:r>
        <w:fldChar w:fldCharType="separate"/>
      </w:r>
      <w:r>
        <w:t>10</w:t>
      </w:r>
      <w:r>
        <w:fldChar w:fldCharType="end"/>
      </w:r>
      <w:r>
        <w:rPr>
          <w:rFonts w:hint="eastAsia" w:ascii="黑体" w:eastAsia="黑体"/>
          <w:szCs w:val="30"/>
          <w:lang w:val="zh-CN"/>
        </w:rPr>
        <w:fldChar w:fldCharType="end"/>
      </w:r>
    </w:p>
    <w:p w14:paraId="1B34E21D">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_Toc22524 </w:instrText>
      </w:r>
      <w:r>
        <w:rPr>
          <w:rFonts w:hint="eastAsia" w:ascii="黑体" w:eastAsia="黑体"/>
          <w:szCs w:val="30"/>
          <w:lang w:val="zh-CN"/>
        </w:rPr>
        <w:fldChar w:fldCharType="separate"/>
      </w:r>
      <w:r>
        <w:rPr>
          <w:rFonts w:hint="eastAsia"/>
          <w:lang w:eastAsia="zh-CN"/>
        </w:rPr>
        <w:t>质量管理体系要求</w:t>
      </w:r>
      <w:r>
        <w:tab/>
      </w:r>
      <w:r>
        <w:fldChar w:fldCharType="begin"/>
      </w:r>
      <w:r>
        <w:instrText xml:space="preserve"> PAGEREF _Toc22524 </w:instrText>
      </w:r>
      <w:r>
        <w:fldChar w:fldCharType="separate"/>
      </w:r>
      <w:r>
        <w:t>11</w:t>
      </w:r>
      <w:r>
        <w:fldChar w:fldCharType="end"/>
      </w:r>
      <w:r>
        <w:rPr>
          <w:rFonts w:hint="eastAsia" w:ascii="黑体" w:eastAsia="黑体"/>
          <w:szCs w:val="30"/>
          <w:lang w:val="zh-CN"/>
        </w:rPr>
        <w:fldChar w:fldCharType="end"/>
      </w:r>
    </w:p>
    <w:p w14:paraId="09E6F1C0">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_Toc31137 </w:instrText>
      </w:r>
      <w:r>
        <w:rPr>
          <w:rFonts w:hint="eastAsia" w:ascii="黑体" w:eastAsia="黑体"/>
          <w:szCs w:val="30"/>
          <w:lang w:val="zh-CN"/>
        </w:rPr>
        <w:fldChar w:fldCharType="separate"/>
      </w:r>
      <w:r>
        <w:rPr>
          <w:rFonts w:hint="eastAsia" w:ascii="黑体" w:eastAsia="黑体"/>
          <w:szCs w:val="30"/>
        </w:rPr>
        <w:t>1 范 围</w:t>
      </w:r>
      <w:r>
        <w:tab/>
      </w:r>
      <w:r>
        <w:fldChar w:fldCharType="begin"/>
      </w:r>
      <w:r>
        <w:instrText xml:space="preserve"> PAGEREF _Toc31137 </w:instrText>
      </w:r>
      <w:r>
        <w:fldChar w:fldCharType="separate"/>
      </w:r>
      <w:r>
        <w:t>11</w:t>
      </w:r>
      <w:r>
        <w:fldChar w:fldCharType="end"/>
      </w:r>
      <w:r>
        <w:rPr>
          <w:rFonts w:hint="eastAsia" w:ascii="黑体" w:eastAsia="黑体"/>
          <w:szCs w:val="30"/>
          <w:lang w:val="zh-CN"/>
        </w:rPr>
        <w:fldChar w:fldCharType="end"/>
      </w:r>
    </w:p>
    <w:p w14:paraId="36F5A89B">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_Toc28664 </w:instrText>
      </w:r>
      <w:r>
        <w:rPr>
          <w:rFonts w:hint="eastAsia" w:ascii="黑体" w:eastAsia="黑体"/>
          <w:szCs w:val="30"/>
          <w:lang w:val="zh-CN"/>
        </w:rPr>
        <w:fldChar w:fldCharType="separate"/>
      </w:r>
      <w:r>
        <w:rPr>
          <w:rFonts w:hint="eastAsia"/>
        </w:rPr>
        <w:t>1.1总则</w:t>
      </w:r>
      <w:r>
        <w:tab/>
      </w:r>
      <w:r>
        <w:fldChar w:fldCharType="begin"/>
      </w:r>
      <w:r>
        <w:instrText xml:space="preserve"> PAGEREF _Toc28664 </w:instrText>
      </w:r>
      <w:r>
        <w:fldChar w:fldCharType="separate"/>
      </w:r>
      <w:r>
        <w:t>11</w:t>
      </w:r>
      <w:r>
        <w:fldChar w:fldCharType="end"/>
      </w:r>
      <w:r>
        <w:rPr>
          <w:rFonts w:hint="eastAsia" w:ascii="黑体" w:eastAsia="黑体"/>
          <w:szCs w:val="30"/>
          <w:lang w:val="zh-CN"/>
        </w:rPr>
        <w:fldChar w:fldCharType="end"/>
      </w:r>
    </w:p>
    <w:p w14:paraId="182B32ED">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_Toc6925 </w:instrText>
      </w:r>
      <w:r>
        <w:rPr>
          <w:rFonts w:hint="eastAsia" w:ascii="黑体" w:eastAsia="黑体"/>
          <w:szCs w:val="30"/>
          <w:lang w:val="zh-CN"/>
        </w:rPr>
        <w:fldChar w:fldCharType="separate"/>
      </w:r>
      <w:r>
        <w:rPr>
          <w:rFonts w:hint="eastAsia"/>
        </w:rPr>
        <w:t>1.2应用</w:t>
      </w:r>
      <w:r>
        <w:tab/>
      </w:r>
      <w:r>
        <w:fldChar w:fldCharType="begin"/>
      </w:r>
      <w:r>
        <w:instrText xml:space="preserve"> PAGEREF _Toc6925 </w:instrText>
      </w:r>
      <w:r>
        <w:fldChar w:fldCharType="separate"/>
      </w:r>
      <w:r>
        <w:t>11</w:t>
      </w:r>
      <w:r>
        <w:fldChar w:fldCharType="end"/>
      </w:r>
      <w:r>
        <w:rPr>
          <w:rFonts w:hint="eastAsia" w:ascii="黑体" w:eastAsia="黑体"/>
          <w:szCs w:val="30"/>
          <w:lang w:val="zh-CN"/>
        </w:rPr>
        <w:fldChar w:fldCharType="end"/>
      </w:r>
    </w:p>
    <w:p w14:paraId="62807F65">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_Toc20401 </w:instrText>
      </w:r>
      <w:r>
        <w:rPr>
          <w:rFonts w:hint="eastAsia" w:ascii="黑体" w:eastAsia="黑体"/>
          <w:szCs w:val="30"/>
          <w:lang w:val="zh-CN"/>
        </w:rPr>
        <w:fldChar w:fldCharType="separate"/>
      </w:r>
      <w:r>
        <w:rPr>
          <w:rFonts w:hint="eastAsia"/>
        </w:rPr>
        <w:t>2 规范性引用文件</w:t>
      </w:r>
      <w:r>
        <w:tab/>
      </w:r>
      <w:r>
        <w:fldChar w:fldCharType="begin"/>
      </w:r>
      <w:r>
        <w:instrText xml:space="preserve"> PAGEREF _Toc20401 </w:instrText>
      </w:r>
      <w:r>
        <w:fldChar w:fldCharType="separate"/>
      </w:r>
      <w:r>
        <w:t>12</w:t>
      </w:r>
      <w:r>
        <w:fldChar w:fldCharType="end"/>
      </w:r>
      <w:r>
        <w:rPr>
          <w:rFonts w:hint="eastAsia" w:ascii="黑体" w:eastAsia="黑体"/>
          <w:szCs w:val="30"/>
          <w:lang w:val="zh-CN"/>
        </w:rPr>
        <w:fldChar w:fldCharType="end"/>
      </w:r>
    </w:p>
    <w:p w14:paraId="54203D7E">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_Toc12178 </w:instrText>
      </w:r>
      <w:r>
        <w:rPr>
          <w:rFonts w:hint="eastAsia" w:ascii="黑体" w:eastAsia="黑体"/>
          <w:szCs w:val="30"/>
          <w:lang w:val="zh-CN"/>
        </w:rPr>
        <w:fldChar w:fldCharType="separate"/>
      </w:r>
      <w:r>
        <w:rPr>
          <w:rFonts w:hint="eastAsia"/>
        </w:rPr>
        <w:t>3 术语和定义</w:t>
      </w:r>
      <w:r>
        <w:tab/>
      </w:r>
      <w:r>
        <w:fldChar w:fldCharType="begin"/>
      </w:r>
      <w:r>
        <w:instrText xml:space="preserve"> PAGEREF _Toc12178 </w:instrText>
      </w:r>
      <w:r>
        <w:fldChar w:fldCharType="separate"/>
      </w:r>
      <w:r>
        <w:t>13</w:t>
      </w:r>
      <w:r>
        <w:fldChar w:fldCharType="end"/>
      </w:r>
      <w:r>
        <w:rPr>
          <w:rFonts w:hint="eastAsia" w:ascii="黑体" w:eastAsia="黑体"/>
          <w:szCs w:val="30"/>
          <w:lang w:val="zh-CN"/>
        </w:rPr>
        <w:fldChar w:fldCharType="end"/>
      </w:r>
    </w:p>
    <w:p w14:paraId="36C8AD5C">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_Toc30776 </w:instrText>
      </w:r>
      <w:r>
        <w:rPr>
          <w:rFonts w:hint="eastAsia" w:ascii="黑体" w:eastAsia="黑体"/>
          <w:szCs w:val="30"/>
          <w:lang w:val="zh-CN"/>
        </w:rPr>
        <w:fldChar w:fldCharType="separate"/>
      </w:r>
      <w:r>
        <w:rPr>
          <w:rFonts w:hint="eastAsia"/>
        </w:rPr>
        <w:t>4  组织环境</w:t>
      </w:r>
      <w:r>
        <w:tab/>
      </w:r>
      <w:r>
        <w:fldChar w:fldCharType="begin"/>
      </w:r>
      <w:r>
        <w:instrText xml:space="preserve"> PAGEREF _Toc30776 </w:instrText>
      </w:r>
      <w:r>
        <w:fldChar w:fldCharType="separate"/>
      </w:r>
      <w:r>
        <w:t>13</w:t>
      </w:r>
      <w:r>
        <w:fldChar w:fldCharType="end"/>
      </w:r>
      <w:r>
        <w:rPr>
          <w:rFonts w:hint="eastAsia" w:ascii="黑体" w:eastAsia="黑体"/>
          <w:szCs w:val="30"/>
          <w:lang w:val="zh-CN"/>
        </w:rPr>
        <w:fldChar w:fldCharType="end"/>
      </w:r>
    </w:p>
    <w:p w14:paraId="11C210C1">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_Toc87 </w:instrText>
      </w:r>
      <w:r>
        <w:rPr>
          <w:rFonts w:hint="eastAsia" w:ascii="黑体" w:eastAsia="黑体"/>
          <w:szCs w:val="30"/>
          <w:lang w:val="zh-CN"/>
        </w:rPr>
        <w:fldChar w:fldCharType="separate"/>
      </w:r>
      <w:r>
        <w:rPr>
          <w:rFonts w:hint="eastAsia"/>
        </w:rPr>
        <w:t>4.1 理解组织及其环境</w:t>
      </w:r>
      <w:r>
        <w:tab/>
      </w:r>
      <w:r>
        <w:fldChar w:fldCharType="begin"/>
      </w:r>
      <w:r>
        <w:instrText xml:space="preserve"> PAGEREF _Toc87 </w:instrText>
      </w:r>
      <w:r>
        <w:fldChar w:fldCharType="separate"/>
      </w:r>
      <w:r>
        <w:t>13</w:t>
      </w:r>
      <w:r>
        <w:fldChar w:fldCharType="end"/>
      </w:r>
      <w:r>
        <w:rPr>
          <w:rFonts w:hint="eastAsia" w:ascii="黑体" w:eastAsia="黑体"/>
          <w:szCs w:val="30"/>
          <w:lang w:val="zh-CN"/>
        </w:rPr>
        <w:fldChar w:fldCharType="end"/>
      </w:r>
    </w:p>
    <w:p w14:paraId="7737E9E2">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_Toc12532 </w:instrText>
      </w:r>
      <w:r>
        <w:rPr>
          <w:rFonts w:hint="eastAsia" w:ascii="黑体" w:eastAsia="黑体"/>
          <w:szCs w:val="30"/>
          <w:lang w:val="zh-CN"/>
        </w:rPr>
        <w:fldChar w:fldCharType="separate"/>
      </w:r>
      <w:r>
        <w:rPr>
          <w:rFonts w:hint="eastAsia"/>
          <w:highlight w:val="none"/>
        </w:rPr>
        <w:t>4.2  理解相关方的需求和期望</w:t>
      </w:r>
      <w:r>
        <w:tab/>
      </w:r>
      <w:r>
        <w:fldChar w:fldCharType="begin"/>
      </w:r>
      <w:r>
        <w:instrText xml:space="preserve"> PAGEREF _Toc12532 </w:instrText>
      </w:r>
      <w:r>
        <w:fldChar w:fldCharType="separate"/>
      </w:r>
      <w:r>
        <w:t>15</w:t>
      </w:r>
      <w:r>
        <w:fldChar w:fldCharType="end"/>
      </w:r>
      <w:r>
        <w:rPr>
          <w:rFonts w:hint="eastAsia" w:ascii="黑体" w:eastAsia="黑体"/>
          <w:szCs w:val="30"/>
          <w:lang w:val="zh-CN"/>
        </w:rPr>
        <w:fldChar w:fldCharType="end"/>
      </w:r>
    </w:p>
    <w:p w14:paraId="5DB8218D">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_Toc13983 </w:instrText>
      </w:r>
      <w:r>
        <w:rPr>
          <w:rFonts w:hint="eastAsia" w:ascii="黑体" w:eastAsia="黑体"/>
          <w:szCs w:val="30"/>
          <w:lang w:val="zh-CN"/>
        </w:rPr>
        <w:fldChar w:fldCharType="separate"/>
      </w:r>
      <w:r>
        <w:rPr>
          <w:rFonts w:hint="eastAsia"/>
        </w:rPr>
        <w:t>4.3确定质量管理体系的范围</w:t>
      </w:r>
      <w:r>
        <w:tab/>
      </w:r>
      <w:r>
        <w:fldChar w:fldCharType="begin"/>
      </w:r>
      <w:r>
        <w:instrText xml:space="preserve"> PAGEREF _Toc13983 </w:instrText>
      </w:r>
      <w:r>
        <w:fldChar w:fldCharType="separate"/>
      </w:r>
      <w:r>
        <w:t>16</w:t>
      </w:r>
      <w:r>
        <w:fldChar w:fldCharType="end"/>
      </w:r>
      <w:r>
        <w:rPr>
          <w:rFonts w:hint="eastAsia" w:ascii="黑体" w:eastAsia="黑体"/>
          <w:szCs w:val="30"/>
          <w:lang w:val="zh-CN"/>
        </w:rPr>
        <w:fldChar w:fldCharType="end"/>
      </w:r>
    </w:p>
    <w:p w14:paraId="0804C46F">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_Toc18376 </w:instrText>
      </w:r>
      <w:r>
        <w:rPr>
          <w:rFonts w:hint="eastAsia" w:ascii="黑体" w:eastAsia="黑体"/>
          <w:szCs w:val="30"/>
          <w:lang w:val="zh-CN"/>
        </w:rPr>
        <w:fldChar w:fldCharType="separate"/>
      </w:r>
      <w:r>
        <w:rPr>
          <w:rFonts w:hint="eastAsia"/>
        </w:rPr>
        <w:t>4.4 质量管理体系及其过程</w:t>
      </w:r>
      <w:r>
        <w:tab/>
      </w:r>
      <w:r>
        <w:fldChar w:fldCharType="begin"/>
      </w:r>
      <w:r>
        <w:instrText xml:space="preserve"> PAGEREF _Toc18376 </w:instrText>
      </w:r>
      <w:r>
        <w:fldChar w:fldCharType="separate"/>
      </w:r>
      <w:r>
        <w:t>17</w:t>
      </w:r>
      <w:r>
        <w:fldChar w:fldCharType="end"/>
      </w:r>
      <w:r>
        <w:rPr>
          <w:rFonts w:hint="eastAsia" w:ascii="黑体" w:eastAsia="黑体"/>
          <w:szCs w:val="30"/>
          <w:lang w:val="zh-CN"/>
        </w:rPr>
        <w:fldChar w:fldCharType="end"/>
      </w:r>
    </w:p>
    <w:p w14:paraId="294EAB21">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_Toc13251 </w:instrText>
      </w:r>
      <w:r>
        <w:rPr>
          <w:rFonts w:hint="eastAsia" w:ascii="黑体" w:eastAsia="黑体"/>
          <w:szCs w:val="30"/>
          <w:lang w:val="zh-CN"/>
        </w:rPr>
        <w:fldChar w:fldCharType="separate"/>
      </w:r>
      <w:r>
        <w:rPr>
          <w:rFonts w:hint="eastAsia"/>
        </w:rPr>
        <w:t>5 领导作用</w:t>
      </w:r>
      <w:r>
        <w:tab/>
      </w:r>
      <w:r>
        <w:fldChar w:fldCharType="begin"/>
      </w:r>
      <w:r>
        <w:instrText xml:space="preserve"> PAGEREF _Toc13251 </w:instrText>
      </w:r>
      <w:r>
        <w:fldChar w:fldCharType="separate"/>
      </w:r>
      <w:r>
        <w:t>20</w:t>
      </w:r>
      <w:r>
        <w:fldChar w:fldCharType="end"/>
      </w:r>
      <w:r>
        <w:rPr>
          <w:rFonts w:hint="eastAsia" w:ascii="黑体" w:eastAsia="黑体"/>
          <w:szCs w:val="30"/>
          <w:lang w:val="zh-CN"/>
        </w:rPr>
        <w:fldChar w:fldCharType="end"/>
      </w:r>
    </w:p>
    <w:p w14:paraId="0AC22E91">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_Toc16288 </w:instrText>
      </w:r>
      <w:r>
        <w:rPr>
          <w:rFonts w:hint="eastAsia" w:ascii="黑体" w:eastAsia="黑体"/>
          <w:szCs w:val="30"/>
          <w:lang w:val="zh-CN"/>
        </w:rPr>
        <w:fldChar w:fldCharType="separate"/>
      </w:r>
      <w:r>
        <w:rPr>
          <w:rFonts w:hint="eastAsia"/>
        </w:rPr>
        <w:t>5.1 领导作用和承诺</w:t>
      </w:r>
      <w:r>
        <w:tab/>
      </w:r>
      <w:r>
        <w:fldChar w:fldCharType="begin"/>
      </w:r>
      <w:r>
        <w:instrText xml:space="preserve"> PAGEREF _Toc16288 </w:instrText>
      </w:r>
      <w:r>
        <w:fldChar w:fldCharType="separate"/>
      </w:r>
      <w:r>
        <w:t>20</w:t>
      </w:r>
      <w:r>
        <w:fldChar w:fldCharType="end"/>
      </w:r>
      <w:r>
        <w:rPr>
          <w:rFonts w:hint="eastAsia" w:ascii="黑体" w:eastAsia="黑体"/>
          <w:szCs w:val="30"/>
          <w:lang w:val="zh-CN"/>
        </w:rPr>
        <w:fldChar w:fldCharType="end"/>
      </w:r>
    </w:p>
    <w:p w14:paraId="2D23F52D">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_Toc25100 </w:instrText>
      </w:r>
      <w:r>
        <w:rPr>
          <w:rFonts w:hint="eastAsia" w:ascii="黑体" w:eastAsia="黑体"/>
          <w:szCs w:val="30"/>
          <w:lang w:val="zh-CN"/>
        </w:rPr>
        <w:fldChar w:fldCharType="separate"/>
      </w:r>
      <w:r>
        <w:rPr>
          <w:rFonts w:hint="eastAsia"/>
        </w:rPr>
        <w:t>5.1.1总则</w:t>
      </w:r>
      <w:r>
        <w:tab/>
      </w:r>
      <w:r>
        <w:fldChar w:fldCharType="begin"/>
      </w:r>
      <w:r>
        <w:instrText xml:space="preserve"> PAGEREF _Toc25100 </w:instrText>
      </w:r>
      <w:r>
        <w:fldChar w:fldCharType="separate"/>
      </w:r>
      <w:r>
        <w:t>20</w:t>
      </w:r>
      <w:r>
        <w:fldChar w:fldCharType="end"/>
      </w:r>
      <w:r>
        <w:rPr>
          <w:rFonts w:hint="eastAsia" w:ascii="黑体" w:eastAsia="黑体"/>
          <w:szCs w:val="30"/>
          <w:lang w:val="zh-CN"/>
        </w:rPr>
        <w:fldChar w:fldCharType="end"/>
      </w:r>
    </w:p>
    <w:p w14:paraId="47E44F2F">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_Toc18540 </w:instrText>
      </w:r>
      <w:r>
        <w:rPr>
          <w:rFonts w:hint="eastAsia" w:ascii="黑体" w:eastAsia="黑体"/>
          <w:szCs w:val="30"/>
          <w:lang w:val="zh-CN"/>
        </w:rPr>
        <w:fldChar w:fldCharType="separate"/>
      </w:r>
      <w:r>
        <w:rPr>
          <w:rFonts w:hint="eastAsia"/>
        </w:rPr>
        <w:t>5.1.2 以顾客为关注焦点</w:t>
      </w:r>
      <w:r>
        <w:tab/>
      </w:r>
      <w:r>
        <w:fldChar w:fldCharType="begin"/>
      </w:r>
      <w:r>
        <w:instrText xml:space="preserve"> PAGEREF _Toc18540 </w:instrText>
      </w:r>
      <w:r>
        <w:fldChar w:fldCharType="separate"/>
      </w:r>
      <w:r>
        <w:t>21</w:t>
      </w:r>
      <w:r>
        <w:fldChar w:fldCharType="end"/>
      </w:r>
      <w:r>
        <w:rPr>
          <w:rFonts w:hint="eastAsia" w:ascii="黑体" w:eastAsia="黑体"/>
          <w:szCs w:val="30"/>
          <w:lang w:val="zh-CN"/>
        </w:rPr>
        <w:fldChar w:fldCharType="end"/>
      </w:r>
    </w:p>
    <w:p w14:paraId="74CB9CF2">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_Toc3409 </w:instrText>
      </w:r>
      <w:r>
        <w:rPr>
          <w:rFonts w:hint="eastAsia" w:ascii="黑体" w:eastAsia="黑体"/>
          <w:szCs w:val="30"/>
          <w:lang w:val="zh-CN"/>
        </w:rPr>
        <w:fldChar w:fldCharType="separate"/>
      </w:r>
      <w:r>
        <w:rPr>
          <w:rFonts w:hint="eastAsia"/>
        </w:rPr>
        <w:t>5.2 管理方针</w:t>
      </w:r>
      <w:r>
        <w:tab/>
      </w:r>
      <w:r>
        <w:fldChar w:fldCharType="begin"/>
      </w:r>
      <w:r>
        <w:instrText xml:space="preserve"> PAGEREF _Toc3409 </w:instrText>
      </w:r>
      <w:r>
        <w:fldChar w:fldCharType="separate"/>
      </w:r>
      <w:r>
        <w:t>21</w:t>
      </w:r>
      <w:r>
        <w:fldChar w:fldCharType="end"/>
      </w:r>
      <w:r>
        <w:rPr>
          <w:rFonts w:hint="eastAsia" w:ascii="黑体" w:eastAsia="黑体"/>
          <w:szCs w:val="30"/>
          <w:lang w:val="zh-CN"/>
        </w:rPr>
        <w:fldChar w:fldCharType="end"/>
      </w:r>
    </w:p>
    <w:p w14:paraId="38518A18">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_Toc29634 </w:instrText>
      </w:r>
      <w:r>
        <w:rPr>
          <w:rFonts w:hint="eastAsia" w:ascii="黑体" w:eastAsia="黑体"/>
          <w:szCs w:val="30"/>
          <w:lang w:val="zh-CN"/>
        </w:rPr>
        <w:fldChar w:fldCharType="separate"/>
      </w:r>
      <w:r>
        <w:rPr>
          <w:rFonts w:hint="eastAsia"/>
        </w:rPr>
        <w:t>5.2.1公司质量方针</w:t>
      </w:r>
      <w:r>
        <w:tab/>
      </w:r>
      <w:r>
        <w:fldChar w:fldCharType="begin"/>
      </w:r>
      <w:r>
        <w:instrText xml:space="preserve"> PAGEREF _Toc29634 </w:instrText>
      </w:r>
      <w:r>
        <w:fldChar w:fldCharType="separate"/>
      </w:r>
      <w:r>
        <w:t>21</w:t>
      </w:r>
      <w:r>
        <w:fldChar w:fldCharType="end"/>
      </w:r>
      <w:r>
        <w:rPr>
          <w:rFonts w:hint="eastAsia" w:ascii="黑体" w:eastAsia="黑体"/>
          <w:szCs w:val="30"/>
          <w:lang w:val="zh-CN"/>
        </w:rPr>
        <w:fldChar w:fldCharType="end"/>
      </w:r>
    </w:p>
    <w:p w14:paraId="3389E5E0">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_Toc2432 </w:instrText>
      </w:r>
      <w:r>
        <w:rPr>
          <w:rFonts w:hint="eastAsia" w:ascii="黑体" w:eastAsia="黑体"/>
          <w:szCs w:val="30"/>
          <w:lang w:val="zh-CN"/>
        </w:rPr>
        <w:fldChar w:fldCharType="separate"/>
      </w:r>
      <w:r>
        <w:rPr>
          <w:rFonts w:hint="eastAsia"/>
        </w:rPr>
        <w:t>5.2.2 沟通管理方针</w:t>
      </w:r>
      <w:r>
        <w:tab/>
      </w:r>
      <w:r>
        <w:fldChar w:fldCharType="begin"/>
      </w:r>
      <w:r>
        <w:instrText xml:space="preserve"> PAGEREF _Toc2432 </w:instrText>
      </w:r>
      <w:r>
        <w:fldChar w:fldCharType="separate"/>
      </w:r>
      <w:r>
        <w:t>21</w:t>
      </w:r>
      <w:r>
        <w:fldChar w:fldCharType="end"/>
      </w:r>
      <w:r>
        <w:rPr>
          <w:rFonts w:hint="eastAsia" w:ascii="黑体" w:eastAsia="黑体"/>
          <w:szCs w:val="30"/>
          <w:lang w:val="zh-CN"/>
        </w:rPr>
        <w:fldChar w:fldCharType="end"/>
      </w:r>
    </w:p>
    <w:p w14:paraId="03E4A0E8">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_Toc29633 </w:instrText>
      </w:r>
      <w:r>
        <w:rPr>
          <w:rFonts w:hint="eastAsia" w:ascii="黑体" w:eastAsia="黑体"/>
          <w:szCs w:val="30"/>
          <w:lang w:val="zh-CN"/>
        </w:rPr>
        <w:fldChar w:fldCharType="separate"/>
      </w:r>
      <w:r>
        <w:rPr>
          <w:rFonts w:hint="eastAsia"/>
        </w:rPr>
        <w:t>5.3 组织的岗位、职责和权限</w:t>
      </w:r>
      <w:r>
        <w:tab/>
      </w:r>
      <w:r>
        <w:fldChar w:fldCharType="begin"/>
      </w:r>
      <w:r>
        <w:instrText xml:space="preserve"> PAGEREF _Toc29633 </w:instrText>
      </w:r>
      <w:r>
        <w:fldChar w:fldCharType="separate"/>
      </w:r>
      <w:r>
        <w:t>22</w:t>
      </w:r>
      <w:r>
        <w:fldChar w:fldCharType="end"/>
      </w:r>
      <w:r>
        <w:rPr>
          <w:rFonts w:hint="eastAsia" w:ascii="黑体" w:eastAsia="黑体"/>
          <w:szCs w:val="30"/>
          <w:lang w:val="zh-CN"/>
        </w:rPr>
        <w:fldChar w:fldCharType="end"/>
      </w:r>
    </w:p>
    <w:p w14:paraId="1582F2B0">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_Toc24191 </w:instrText>
      </w:r>
      <w:r>
        <w:rPr>
          <w:rFonts w:hint="eastAsia" w:ascii="黑体" w:eastAsia="黑体"/>
          <w:szCs w:val="30"/>
          <w:lang w:val="zh-CN"/>
        </w:rPr>
        <w:fldChar w:fldCharType="separate"/>
      </w:r>
      <w:r>
        <w:rPr>
          <w:rFonts w:hint="eastAsia"/>
        </w:rPr>
        <w:t>6 策 划</w:t>
      </w:r>
      <w:r>
        <w:tab/>
      </w:r>
      <w:r>
        <w:fldChar w:fldCharType="begin"/>
      </w:r>
      <w:r>
        <w:instrText xml:space="preserve"> PAGEREF _Toc24191 </w:instrText>
      </w:r>
      <w:r>
        <w:fldChar w:fldCharType="separate"/>
      </w:r>
      <w:r>
        <w:t>22</w:t>
      </w:r>
      <w:r>
        <w:fldChar w:fldCharType="end"/>
      </w:r>
      <w:r>
        <w:rPr>
          <w:rFonts w:hint="eastAsia" w:ascii="黑体" w:eastAsia="黑体"/>
          <w:szCs w:val="30"/>
          <w:lang w:val="zh-CN"/>
        </w:rPr>
        <w:fldChar w:fldCharType="end"/>
      </w:r>
    </w:p>
    <w:p w14:paraId="28D656D3">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_Toc24048 </w:instrText>
      </w:r>
      <w:r>
        <w:rPr>
          <w:rFonts w:hint="eastAsia" w:ascii="黑体" w:eastAsia="黑体"/>
          <w:szCs w:val="30"/>
          <w:lang w:val="zh-CN"/>
        </w:rPr>
        <w:fldChar w:fldCharType="separate"/>
      </w:r>
      <w:r>
        <w:rPr>
          <w:rFonts w:hint="eastAsia"/>
        </w:rPr>
        <w:t>6.1 应对风险和机遇的措施</w:t>
      </w:r>
      <w:r>
        <w:tab/>
      </w:r>
      <w:r>
        <w:fldChar w:fldCharType="begin"/>
      </w:r>
      <w:r>
        <w:instrText xml:space="preserve"> PAGEREF _Toc24048 </w:instrText>
      </w:r>
      <w:r>
        <w:fldChar w:fldCharType="separate"/>
      </w:r>
      <w:r>
        <w:t>22</w:t>
      </w:r>
      <w:r>
        <w:fldChar w:fldCharType="end"/>
      </w:r>
      <w:r>
        <w:rPr>
          <w:rFonts w:hint="eastAsia" w:ascii="黑体" w:eastAsia="黑体"/>
          <w:szCs w:val="30"/>
          <w:lang w:val="zh-CN"/>
        </w:rPr>
        <w:fldChar w:fldCharType="end"/>
      </w:r>
    </w:p>
    <w:p w14:paraId="1BDF3260">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_Toc11273 </w:instrText>
      </w:r>
      <w:r>
        <w:rPr>
          <w:rFonts w:hint="eastAsia" w:ascii="黑体" w:eastAsia="黑体"/>
          <w:szCs w:val="30"/>
          <w:lang w:val="zh-CN"/>
        </w:rPr>
        <w:fldChar w:fldCharType="separate"/>
      </w:r>
      <w:r>
        <w:rPr>
          <w:rFonts w:hint="eastAsia"/>
        </w:rPr>
        <w:t>6.1.1 总则</w:t>
      </w:r>
      <w:r>
        <w:tab/>
      </w:r>
      <w:r>
        <w:fldChar w:fldCharType="begin"/>
      </w:r>
      <w:r>
        <w:instrText xml:space="preserve"> PAGEREF _Toc11273 </w:instrText>
      </w:r>
      <w:r>
        <w:fldChar w:fldCharType="separate"/>
      </w:r>
      <w:r>
        <w:t>22</w:t>
      </w:r>
      <w:r>
        <w:fldChar w:fldCharType="end"/>
      </w:r>
      <w:r>
        <w:rPr>
          <w:rFonts w:hint="eastAsia" w:ascii="黑体" w:eastAsia="黑体"/>
          <w:szCs w:val="30"/>
          <w:lang w:val="zh-CN"/>
        </w:rPr>
        <w:fldChar w:fldCharType="end"/>
      </w:r>
    </w:p>
    <w:p w14:paraId="674A61A0">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_Toc31276 </w:instrText>
      </w:r>
      <w:r>
        <w:rPr>
          <w:rFonts w:hint="eastAsia" w:ascii="黑体" w:eastAsia="黑体"/>
          <w:szCs w:val="30"/>
          <w:lang w:val="zh-CN"/>
        </w:rPr>
        <w:fldChar w:fldCharType="separate"/>
      </w:r>
      <w:r>
        <w:rPr>
          <w:rFonts w:hint="eastAsia"/>
        </w:rPr>
        <w:t>6.1.2 风险和机遇所带来的风险</w:t>
      </w:r>
      <w:r>
        <w:tab/>
      </w:r>
      <w:r>
        <w:fldChar w:fldCharType="begin"/>
      </w:r>
      <w:r>
        <w:instrText xml:space="preserve"> PAGEREF _Toc31276 </w:instrText>
      </w:r>
      <w:r>
        <w:fldChar w:fldCharType="separate"/>
      </w:r>
      <w:r>
        <w:t>22</w:t>
      </w:r>
      <w:r>
        <w:fldChar w:fldCharType="end"/>
      </w:r>
      <w:r>
        <w:rPr>
          <w:rFonts w:hint="eastAsia" w:ascii="黑体" w:eastAsia="黑体"/>
          <w:szCs w:val="30"/>
          <w:lang w:val="zh-CN"/>
        </w:rPr>
        <w:fldChar w:fldCharType="end"/>
      </w:r>
    </w:p>
    <w:p w14:paraId="2D693682">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_Toc19822 </w:instrText>
      </w:r>
      <w:r>
        <w:rPr>
          <w:rFonts w:hint="eastAsia" w:ascii="黑体" w:eastAsia="黑体"/>
          <w:szCs w:val="30"/>
          <w:lang w:val="zh-CN"/>
        </w:rPr>
        <w:fldChar w:fldCharType="separate"/>
      </w:r>
      <w:r>
        <w:rPr>
          <w:rFonts w:hint="eastAsia"/>
        </w:rPr>
        <w:t>6.1.3采取措施的策划</w:t>
      </w:r>
      <w:r>
        <w:tab/>
      </w:r>
      <w:r>
        <w:fldChar w:fldCharType="begin"/>
      </w:r>
      <w:r>
        <w:instrText xml:space="preserve"> PAGEREF _Toc19822 </w:instrText>
      </w:r>
      <w:r>
        <w:fldChar w:fldCharType="separate"/>
      </w:r>
      <w:r>
        <w:t>23</w:t>
      </w:r>
      <w:r>
        <w:fldChar w:fldCharType="end"/>
      </w:r>
      <w:r>
        <w:rPr>
          <w:rFonts w:hint="eastAsia" w:ascii="黑体" w:eastAsia="黑体"/>
          <w:szCs w:val="30"/>
          <w:lang w:val="zh-CN"/>
        </w:rPr>
        <w:fldChar w:fldCharType="end"/>
      </w:r>
    </w:p>
    <w:p w14:paraId="7C1B6742">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_Toc9693 </w:instrText>
      </w:r>
      <w:r>
        <w:rPr>
          <w:rFonts w:hint="eastAsia" w:ascii="黑体" w:eastAsia="黑体"/>
          <w:szCs w:val="30"/>
          <w:lang w:val="zh-CN"/>
        </w:rPr>
        <w:fldChar w:fldCharType="separate"/>
      </w:r>
      <w:r>
        <w:rPr>
          <w:rFonts w:hint="eastAsia"/>
        </w:rPr>
        <w:t>6.1.4 风险分类</w:t>
      </w:r>
      <w:r>
        <w:tab/>
      </w:r>
      <w:r>
        <w:fldChar w:fldCharType="begin"/>
      </w:r>
      <w:r>
        <w:instrText xml:space="preserve"> PAGEREF _Toc9693 </w:instrText>
      </w:r>
      <w:r>
        <w:fldChar w:fldCharType="separate"/>
      </w:r>
      <w:r>
        <w:t>23</w:t>
      </w:r>
      <w:r>
        <w:fldChar w:fldCharType="end"/>
      </w:r>
      <w:r>
        <w:rPr>
          <w:rFonts w:hint="eastAsia" w:ascii="黑体" w:eastAsia="黑体"/>
          <w:szCs w:val="30"/>
          <w:lang w:val="zh-CN"/>
        </w:rPr>
        <w:fldChar w:fldCharType="end"/>
      </w:r>
    </w:p>
    <w:p w14:paraId="14C490D2">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_Toc17505 </w:instrText>
      </w:r>
      <w:r>
        <w:rPr>
          <w:rFonts w:hint="eastAsia" w:ascii="黑体" w:eastAsia="黑体"/>
          <w:szCs w:val="30"/>
          <w:lang w:val="zh-CN"/>
        </w:rPr>
        <w:fldChar w:fldCharType="separate"/>
      </w:r>
      <w:r>
        <w:rPr>
          <w:rFonts w:hint="eastAsia"/>
        </w:rPr>
        <w:t>6.2质量目标及其实现的策划</w:t>
      </w:r>
      <w:r>
        <w:tab/>
      </w:r>
      <w:r>
        <w:fldChar w:fldCharType="begin"/>
      </w:r>
      <w:r>
        <w:instrText xml:space="preserve"> PAGEREF _Toc17505 </w:instrText>
      </w:r>
      <w:r>
        <w:fldChar w:fldCharType="separate"/>
      </w:r>
      <w:r>
        <w:t>25</w:t>
      </w:r>
      <w:r>
        <w:fldChar w:fldCharType="end"/>
      </w:r>
      <w:r>
        <w:rPr>
          <w:rFonts w:hint="eastAsia" w:ascii="黑体" w:eastAsia="黑体"/>
          <w:szCs w:val="30"/>
          <w:lang w:val="zh-CN"/>
        </w:rPr>
        <w:fldChar w:fldCharType="end"/>
      </w:r>
    </w:p>
    <w:p w14:paraId="2F1F5252">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_Toc22032 </w:instrText>
      </w:r>
      <w:r>
        <w:rPr>
          <w:rFonts w:hint="eastAsia" w:ascii="黑体" w:eastAsia="黑体"/>
          <w:szCs w:val="30"/>
          <w:lang w:val="zh-CN"/>
        </w:rPr>
        <w:fldChar w:fldCharType="separate"/>
      </w:r>
      <w:r>
        <w:rPr>
          <w:rFonts w:hint="eastAsia"/>
        </w:rPr>
        <w:t>6.2.1 质量目标</w:t>
      </w:r>
      <w:r>
        <w:tab/>
      </w:r>
      <w:r>
        <w:fldChar w:fldCharType="begin"/>
      </w:r>
      <w:r>
        <w:instrText xml:space="preserve"> PAGEREF _Toc22032 </w:instrText>
      </w:r>
      <w:r>
        <w:fldChar w:fldCharType="separate"/>
      </w:r>
      <w:r>
        <w:t>25</w:t>
      </w:r>
      <w:r>
        <w:fldChar w:fldCharType="end"/>
      </w:r>
      <w:r>
        <w:rPr>
          <w:rFonts w:hint="eastAsia" w:ascii="黑体" w:eastAsia="黑体"/>
          <w:szCs w:val="30"/>
          <w:lang w:val="zh-CN"/>
        </w:rPr>
        <w:fldChar w:fldCharType="end"/>
      </w:r>
    </w:p>
    <w:p w14:paraId="3D6F0582">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_Toc27456 </w:instrText>
      </w:r>
      <w:r>
        <w:rPr>
          <w:rFonts w:hint="eastAsia" w:ascii="黑体" w:eastAsia="黑体"/>
          <w:szCs w:val="30"/>
          <w:lang w:val="zh-CN"/>
        </w:rPr>
        <w:fldChar w:fldCharType="separate"/>
      </w:r>
      <w:r>
        <w:rPr>
          <w:rFonts w:hint="eastAsia"/>
        </w:rPr>
        <w:t>6.2.2 实现质量目标措施的策划</w:t>
      </w:r>
      <w:r>
        <w:tab/>
      </w:r>
      <w:r>
        <w:fldChar w:fldCharType="begin"/>
      </w:r>
      <w:r>
        <w:instrText xml:space="preserve"> PAGEREF _Toc27456 </w:instrText>
      </w:r>
      <w:r>
        <w:fldChar w:fldCharType="separate"/>
      </w:r>
      <w:r>
        <w:t>25</w:t>
      </w:r>
      <w:r>
        <w:fldChar w:fldCharType="end"/>
      </w:r>
      <w:r>
        <w:rPr>
          <w:rFonts w:hint="eastAsia" w:ascii="黑体" w:eastAsia="黑体"/>
          <w:szCs w:val="30"/>
          <w:lang w:val="zh-CN"/>
        </w:rPr>
        <w:fldChar w:fldCharType="end"/>
      </w:r>
    </w:p>
    <w:p w14:paraId="2B5AD461">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_Toc22314 </w:instrText>
      </w:r>
      <w:r>
        <w:rPr>
          <w:rFonts w:hint="eastAsia" w:ascii="黑体" w:eastAsia="黑体"/>
          <w:szCs w:val="30"/>
          <w:lang w:val="zh-CN"/>
        </w:rPr>
        <w:fldChar w:fldCharType="separate"/>
      </w:r>
      <w:r>
        <w:rPr>
          <w:rFonts w:hint="eastAsia"/>
        </w:rPr>
        <w:t>6.3 变更的策划</w:t>
      </w:r>
      <w:r>
        <w:tab/>
      </w:r>
      <w:r>
        <w:fldChar w:fldCharType="begin"/>
      </w:r>
      <w:r>
        <w:instrText xml:space="preserve"> PAGEREF _Toc22314 </w:instrText>
      </w:r>
      <w:r>
        <w:fldChar w:fldCharType="separate"/>
      </w:r>
      <w:r>
        <w:t>25</w:t>
      </w:r>
      <w:r>
        <w:fldChar w:fldCharType="end"/>
      </w:r>
      <w:r>
        <w:rPr>
          <w:rFonts w:hint="eastAsia" w:ascii="黑体" w:eastAsia="黑体"/>
          <w:szCs w:val="30"/>
          <w:lang w:val="zh-CN"/>
        </w:rPr>
        <w:fldChar w:fldCharType="end"/>
      </w:r>
    </w:p>
    <w:p w14:paraId="061BE1BD">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_Toc12912 </w:instrText>
      </w:r>
      <w:r>
        <w:rPr>
          <w:rFonts w:hint="eastAsia" w:ascii="黑体" w:eastAsia="黑体"/>
          <w:szCs w:val="30"/>
          <w:lang w:val="zh-CN"/>
        </w:rPr>
        <w:fldChar w:fldCharType="separate"/>
      </w:r>
      <w:r>
        <w:rPr>
          <w:rFonts w:hint="eastAsia"/>
        </w:rPr>
        <w:t>7 支 持</w:t>
      </w:r>
      <w:r>
        <w:tab/>
      </w:r>
      <w:r>
        <w:fldChar w:fldCharType="begin"/>
      </w:r>
      <w:r>
        <w:instrText xml:space="preserve"> PAGEREF _Toc12912 </w:instrText>
      </w:r>
      <w:r>
        <w:fldChar w:fldCharType="separate"/>
      </w:r>
      <w:r>
        <w:t>26</w:t>
      </w:r>
      <w:r>
        <w:fldChar w:fldCharType="end"/>
      </w:r>
      <w:r>
        <w:rPr>
          <w:rFonts w:hint="eastAsia" w:ascii="黑体" w:eastAsia="黑体"/>
          <w:szCs w:val="30"/>
          <w:lang w:val="zh-CN"/>
        </w:rPr>
        <w:fldChar w:fldCharType="end"/>
      </w:r>
    </w:p>
    <w:p w14:paraId="05E95F9C">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_Toc8004 </w:instrText>
      </w:r>
      <w:r>
        <w:rPr>
          <w:rFonts w:hint="eastAsia" w:ascii="黑体" w:eastAsia="黑体"/>
          <w:szCs w:val="30"/>
          <w:lang w:val="zh-CN"/>
        </w:rPr>
        <w:fldChar w:fldCharType="separate"/>
      </w:r>
      <w:r>
        <w:rPr>
          <w:rFonts w:hint="eastAsia"/>
        </w:rPr>
        <w:t>7.1 资源</w:t>
      </w:r>
      <w:r>
        <w:tab/>
      </w:r>
      <w:r>
        <w:fldChar w:fldCharType="begin"/>
      </w:r>
      <w:r>
        <w:instrText xml:space="preserve"> PAGEREF _Toc8004 </w:instrText>
      </w:r>
      <w:r>
        <w:fldChar w:fldCharType="separate"/>
      </w:r>
      <w:r>
        <w:t>26</w:t>
      </w:r>
      <w:r>
        <w:fldChar w:fldCharType="end"/>
      </w:r>
      <w:r>
        <w:rPr>
          <w:rFonts w:hint="eastAsia" w:ascii="黑体" w:eastAsia="黑体"/>
          <w:szCs w:val="30"/>
          <w:lang w:val="zh-CN"/>
        </w:rPr>
        <w:fldChar w:fldCharType="end"/>
      </w:r>
    </w:p>
    <w:p w14:paraId="6AF9626E">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_Toc2500 </w:instrText>
      </w:r>
      <w:r>
        <w:rPr>
          <w:rFonts w:hint="eastAsia" w:ascii="黑体" w:eastAsia="黑体"/>
          <w:szCs w:val="30"/>
          <w:lang w:val="zh-CN"/>
        </w:rPr>
        <w:fldChar w:fldCharType="separate"/>
      </w:r>
      <w:r>
        <w:rPr>
          <w:rFonts w:hint="eastAsia"/>
        </w:rPr>
        <w:t>7.1.1 总则</w:t>
      </w:r>
      <w:r>
        <w:tab/>
      </w:r>
      <w:r>
        <w:fldChar w:fldCharType="begin"/>
      </w:r>
      <w:r>
        <w:instrText xml:space="preserve"> PAGEREF _Toc2500 </w:instrText>
      </w:r>
      <w:r>
        <w:fldChar w:fldCharType="separate"/>
      </w:r>
      <w:r>
        <w:t>26</w:t>
      </w:r>
      <w:r>
        <w:fldChar w:fldCharType="end"/>
      </w:r>
      <w:r>
        <w:rPr>
          <w:rFonts w:hint="eastAsia" w:ascii="黑体" w:eastAsia="黑体"/>
          <w:szCs w:val="30"/>
          <w:lang w:val="zh-CN"/>
        </w:rPr>
        <w:fldChar w:fldCharType="end"/>
      </w:r>
    </w:p>
    <w:p w14:paraId="0EE70B29">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_Toc28798 </w:instrText>
      </w:r>
      <w:r>
        <w:rPr>
          <w:rFonts w:hint="eastAsia" w:ascii="黑体" w:eastAsia="黑体"/>
          <w:szCs w:val="30"/>
          <w:lang w:val="zh-CN"/>
        </w:rPr>
        <w:fldChar w:fldCharType="separate"/>
      </w:r>
      <w:r>
        <w:rPr>
          <w:rFonts w:hint="eastAsia"/>
        </w:rPr>
        <w:t>7.1.2 人员</w:t>
      </w:r>
      <w:r>
        <w:tab/>
      </w:r>
      <w:r>
        <w:fldChar w:fldCharType="begin"/>
      </w:r>
      <w:r>
        <w:instrText xml:space="preserve"> PAGEREF _Toc28798 </w:instrText>
      </w:r>
      <w:r>
        <w:fldChar w:fldCharType="separate"/>
      </w:r>
      <w:r>
        <w:t>26</w:t>
      </w:r>
      <w:r>
        <w:fldChar w:fldCharType="end"/>
      </w:r>
      <w:r>
        <w:rPr>
          <w:rFonts w:hint="eastAsia" w:ascii="黑体" w:eastAsia="黑体"/>
          <w:szCs w:val="30"/>
          <w:lang w:val="zh-CN"/>
        </w:rPr>
        <w:fldChar w:fldCharType="end"/>
      </w:r>
    </w:p>
    <w:p w14:paraId="53EB5B34">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_Toc24081 </w:instrText>
      </w:r>
      <w:r>
        <w:rPr>
          <w:rFonts w:hint="eastAsia" w:ascii="黑体" w:eastAsia="黑体"/>
          <w:szCs w:val="30"/>
          <w:lang w:val="zh-CN"/>
        </w:rPr>
        <w:fldChar w:fldCharType="separate"/>
      </w:r>
      <w:r>
        <w:rPr>
          <w:rFonts w:hint="eastAsia"/>
        </w:rPr>
        <w:t>7.1.3 基础设施</w:t>
      </w:r>
      <w:r>
        <w:tab/>
      </w:r>
      <w:r>
        <w:fldChar w:fldCharType="begin"/>
      </w:r>
      <w:r>
        <w:instrText xml:space="preserve"> PAGEREF _Toc24081 </w:instrText>
      </w:r>
      <w:r>
        <w:fldChar w:fldCharType="separate"/>
      </w:r>
      <w:r>
        <w:t>26</w:t>
      </w:r>
      <w:r>
        <w:fldChar w:fldCharType="end"/>
      </w:r>
      <w:r>
        <w:rPr>
          <w:rFonts w:hint="eastAsia" w:ascii="黑体" w:eastAsia="黑体"/>
          <w:szCs w:val="30"/>
          <w:lang w:val="zh-CN"/>
        </w:rPr>
        <w:fldChar w:fldCharType="end"/>
      </w:r>
    </w:p>
    <w:p w14:paraId="02113620">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_Toc12996 </w:instrText>
      </w:r>
      <w:r>
        <w:rPr>
          <w:rFonts w:hint="eastAsia" w:ascii="黑体" w:eastAsia="黑体"/>
          <w:szCs w:val="30"/>
          <w:lang w:val="zh-CN"/>
        </w:rPr>
        <w:fldChar w:fldCharType="separate"/>
      </w:r>
      <w:r>
        <w:rPr>
          <w:rFonts w:hint="eastAsia"/>
        </w:rPr>
        <w:t>7.1.4 过程运行环境</w:t>
      </w:r>
      <w:r>
        <w:tab/>
      </w:r>
      <w:r>
        <w:fldChar w:fldCharType="begin"/>
      </w:r>
      <w:r>
        <w:instrText xml:space="preserve"> PAGEREF _Toc12996 </w:instrText>
      </w:r>
      <w:r>
        <w:fldChar w:fldCharType="separate"/>
      </w:r>
      <w:r>
        <w:t>27</w:t>
      </w:r>
      <w:r>
        <w:fldChar w:fldCharType="end"/>
      </w:r>
      <w:r>
        <w:rPr>
          <w:rFonts w:hint="eastAsia" w:ascii="黑体" w:eastAsia="黑体"/>
          <w:szCs w:val="30"/>
          <w:lang w:val="zh-CN"/>
        </w:rPr>
        <w:fldChar w:fldCharType="end"/>
      </w:r>
    </w:p>
    <w:p w14:paraId="528346C4">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_Toc5205 </w:instrText>
      </w:r>
      <w:r>
        <w:rPr>
          <w:rFonts w:hint="eastAsia" w:ascii="黑体" w:eastAsia="黑体"/>
          <w:szCs w:val="30"/>
          <w:lang w:val="zh-CN"/>
        </w:rPr>
        <w:fldChar w:fldCharType="separate"/>
      </w:r>
      <w:r>
        <w:rPr>
          <w:rFonts w:hint="eastAsia"/>
        </w:rPr>
        <w:t>7.1.5 监视和测量资源</w:t>
      </w:r>
      <w:r>
        <w:tab/>
      </w:r>
      <w:r>
        <w:fldChar w:fldCharType="begin"/>
      </w:r>
      <w:r>
        <w:instrText xml:space="preserve"> PAGEREF _Toc5205 </w:instrText>
      </w:r>
      <w:r>
        <w:fldChar w:fldCharType="separate"/>
      </w:r>
      <w:r>
        <w:t>28</w:t>
      </w:r>
      <w:r>
        <w:fldChar w:fldCharType="end"/>
      </w:r>
      <w:r>
        <w:rPr>
          <w:rFonts w:hint="eastAsia" w:ascii="黑体" w:eastAsia="黑体"/>
          <w:szCs w:val="30"/>
          <w:lang w:val="zh-CN"/>
        </w:rPr>
        <w:fldChar w:fldCharType="end"/>
      </w:r>
    </w:p>
    <w:p w14:paraId="297CEE71">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_Toc26840 </w:instrText>
      </w:r>
      <w:r>
        <w:rPr>
          <w:rFonts w:hint="eastAsia" w:ascii="黑体" w:eastAsia="黑体"/>
          <w:szCs w:val="30"/>
          <w:lang w:val="zh-CN"/>
        </w:rPr>
        <w:fldChar w:fldCharType="separate"/>
      </w:r>
      <w:r>
        <w:rPr>
          <w:rFonts w:hint="eastAsia"/>
        </w:rPr>
        <w:t>7.2 能力</w:t>
      </w:r>
      <w:r>
        <w:tab/>
      </w:r>
      <w:r>
        <w:fldChar w:fldCharType="begin"/>
      </w:r>
      <w:r>
        <w:instrText xml:space="preserve"> PAGEREF _Toc26840 </w:instrText>
      </w:r>
      <w:r>
        <w:fldChar w:fldCharType="separate"/>
      </w:r>
      <w:r>
        <w:t>30</w:t>
      </w:r>
      <w:r>
        <w:fldChar w:fldCharType="end"/>
      </w:r>
      <w:r>
        <w:rPr>
          <w:rFonts w:hint="eastAsia" w:ascii="黑体" w:eastAsia="黑体"/>
          <w:szCs w:val="30"/>
          <w:lang w:val="zh-CN"/>
        </w:rPr>
        <w:fldChar w:fldCharType="end"/>
      </w:r>
    </w:p>
    <w:p w14:paraId="0B5D7505">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_Toc30489 </w:instrText>
      </w:r>
      <w:r>
        <w:rPr>
          <w:rFonts w:hint="eastAsia" w:ascii="黑体" w:eastAsia="黑体"/>
          <w:szCs w:val="30"/>
          <w:lang w:val="zh-CN"/>
        </w:rPr>
        <w:fldChar w:fldCharType="separate"/>
      </w:r>
      <w:r>
        <w:rPr>
          <w:rFonts w:hint="eastAsia"/>
          <w:kern w:val="0"/>
        </w:rPr>
        <w:t>7.3 意识</w:t>
      </w:r>
      <w:r>
        <w:tab/>
      </w:r>
      <w:r>
        <w:fldChar w:fldCharType="begin"/>
      </w:r>
      <w:r>
        <w:instrText xml:space="preserve"> PAGEREF _Toc30489 </w:instrText>
      </w:r>
      <w:r>
        <w:fldChar w:fldCharType="separate"/>
      </w:r>
      <w:r>
        <w:t>31</w:t>
      </w:r>
      <w:r>
        <w:fldChar w:fldCharType="end"/>
      </w:r>
      <w:r>
        <w:rPr>
          <w:rFonts w:hint="eastAsia" w:ascii="黑体" w:eastAsia="黑体"/>
          <w:szCs w:val="30"/>
          <w:lang w:val="zh-CN"/>
        </w:rPr>
        <w:fldChar w:fldCharType="end"/>
      </w:r>
    </w:p>
    <w:p w14:paraId="07E696EF">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_Toc678 </w:instrText>
      </w:r>
      <w:r>
        <w:rPr>
          <w:rFonts w:hint="eastAsia" w:ascii="黑体" w:eastAsia="黑体"/>
          <w:szCs w:val="30"/>
          <w:lang w:val="zh-CN"/>
        </w:rPr>
        <w:fldChar w:fldCharType="separate"/>
      </w:r>
      <w:r>
        <w:rPr>
          <w:rFonts w:hint="eastAsia"/>
        </w:rPr>
        <w:t>7.4 沟通</w:t>
      </w:r>
      <w:r>
        <w:tab/>
      </w:r>
      <w:r>
        <w:fldChar w:fldCharType="begin"/>
      </w:r>
      <w:r>
        <w:instrText xml:space="preserve"> PAGEREF _Toc678 </w:instrText>
      </w:r>
      <w:r>
        <w:fldChar w:fldCharType="separate"/>
      </w:r>
      <w:r>
        <w:t>31</w:t>
      </w:r>
      <w:r>
        <w:fldChar w:fldCharType="end"/>
      </w:r>
      <w:r>
        <w:rPr>
          <w:rFonts w:hint="eastAsia" w:ascii="黑体" w:eastAsia="黑体"/>
          <w:szCs w:val="30"/>
          <w:lang w:val="zh-CN"/>
        </w:rPr>
        <w:fldChar w:fldCharType="end"/>
      </w:r>
    </w:p>
    <w:p w14:paraId="59D1BAAA">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_Toc28671 </w:instrText>
      </w:r>
      <w:r>
        <w:rPr>
          <w:rFonts w:hint="eastAsia" w:ascii="黑体" w:eastAsia="黑体"/>
          <w:szCs w:val="30"/>
          <w:lang w:val="zh-CN"/>
        </w:rPr>
        <w:fldChar w:fldCharType="separate"/>
      </w:r>
      <w:r>
        <w:rPr>
          <w:rFonts w:hint="eastAsia"/>
        </w:rPr>
        <w:t>7.4.1 总则</w:t>
      </w:r>
      <w:r>
        <w:tab/>
      </w:r>
      <w:r>
        <w:fldChar w:fldCharType="begin"/>
      </w:r>
      <w:r>
        <w:instrText xml:space="preserve"> PAGEREF _Toc28671 </w:instrText>
      </w:r>
      <w:r>
        <w:fldChar w:fldCharType="separate"/>
      </w:r>
      <w:r>
        <w:t>31</w:t>
      </w:r>
      <w:r>
        <w:fldChar w:fldCharType="end"/>
      </w:r>
      <w:r>
        <w:rPr>
          <w:rFonts w:hint="eastAsia" w:ascii="黑体" w:eastAsia="黑体"/>
          <w:szCs w:val="30"/>
          <w:lang w:val="zh-CN"/>
        </w:rPr>
        <w:fldChar w:fldCharType="end"/>
      </w:r>
    </w:p>
    <w:p w14:paraId="7C5556D9">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_Toc7972 </w:instrText>
      </w:r>
      <w:r>
        <w:rPr>
          <w:rFonts w:hint="eastAsia" w:ascii="黑体" w:eastAsia="黑体"/>
          <w:szCs w:val="30"/>
          <w:lang w:val="zh-CN"/>
        </w:rPr>
        <w:fldChar w:fldCharType="separate"/>
      </w:r>
      <w:r>
        <w:rPr>
          <w:rFonts w:hint="eastAsia"/>
        </w:rPr>
        <w:t>7.5 成文信息</w:t>
      </w:r>
      <w:r>
        <w:tab/>
      </w:r>
      <w:r>
        <w:fldChar w:fldCharType="begin"/>
      </w:r>
      <w:r>
        <w:instrText xml:space="preserve"> PAGEREF _Toc7972 </w:instrText>
      </w:r>
      <w:r>
        <w:fldChar w:fldCharType="separate"/>
      </w:r>
      <w:r>
        <w:t>32</w:t>
      </w:r>
      <w:r>
        <w:fldChar w:fldCharType="end"/>
      </w:r>
      <w:r>
        <w:rPr>
          <w:rFonts w:hint="eastAsia" w:ascii="黑体" w:eastAsia="黑体"/>
          <w:szCs w:val="30"/>
          <w:lang w:val="zh-CN"/>
        </w:rPr>
        <w:fldChar w:fldCharType="end"/>
      </w:r>
    </w:p>
    <w:p w14:paraId="447110FD">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_Toc30358 </w:instrText>
      </w:r>
      <w:r>
        <w:rPr>
          <w:rFonts w:hint="eastAsia" w:ascii="黑体" w:eastAsia="黑体"/>
          <w:szCs w:val="30"/>
          <w:lang w:val="zh-CN"/>
        </w:rPr>
        <w:fldChar w:fldCharType="separate"/>
      </w:r>
      <w:r>
        <w:rPr>
          <w:rFonts w:hint="eastAsia"/>
        </w:rPr>
        <w:t>7.5.1 总则</w:t>
      </w:r>
      <w:r>
        <w:tab/>
      </w:r>
      <w:r>
        <w:fldChar w:fldCharType="begin"/>
      </w:r>
      <w:r>
        <w:instrText xml:space="preserve"> PAGEREF _Toc30358 </w:instrText>
      </w:r>
      <w:r>
        <w:fldChar w:fldCharType="separate"/>
      </w:r>
      <w:r>
        <w:t>32</w:t>
      </w:r>
      <w:r>
        <w:fldChar w:fldCharType="end"/>
      </w:r>
      <w:r>
        <w:rPr>
          <w:rFonts w:hint="eastAsia" w:ascii="黑体" w:eastAsia="黑体"/>
          <w:szCs w:val="30"/>
          <w:lang w:val="zh-CN"/>
        </w:rPr>
        <w:fldChar w:fldCharType="end"/>
      </w:r>
    </w:p>
    <w:p w14:paraId="409DBE7A">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_Toc8784 </w:instrText>
      </w:r>
      <w:r>
        <w:rPr>
          <w:rFonts w:hint="eastAsia" w:ascii="黑体" w:eastAsia="黑体"/>
          <w:szCs w:val="30"/>
          <w:lang w:val="zh-CN"/>
        </w:rPr>
        <w:fldChar w:fldCharType="separate"/>
      </w:r>
      <w:r>
        <w:rPr>
          <w:rFonts w:hint="eastAsia"/>
        </w:rPr>
        <w:t>7.5.2 创建和更新</w:t>
      </w:r>
      <w:r>
        <w:tab/>
      </w:r>
      <w:r>
        <w:fldChar w:fldCharType="begin"/>
      </w:r>
      <w:r>
        <w:instrText xml:space="preserve"> PAGEREF _Toc8784 </w:instrText>
      </w:r>
      <w:r>
        <w:fldChar w:fldCharType="separate"/>
      </w:r>
      <w:r>
        <w:t>32</w:t>
      </w:r>
      <w:r>
        <w:fldChar w:fldCharType="end"/>
      </w:r>
      <w:r>
        <w:rPr>
          <w:rFonts w:hint="eastAsia" w:ascii="黑体" w:eastAsia="黑体"/>
          <w:szCs w:val="30"/>
          <w:lang w:val="zh-CN"/>
        </w:rPr>
        <w:fldChar w:fldCharType="end"/>
      </w:r>
    </w:p>
    <w:p w14:paraId="6A0C1FBB">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_Toc9956 </w:instrText>
      </w:r>
      <w:r>
        <w:rPr>
          <w:rFonts w:hint="eastAsia" w:ascii="黑体" w:eastAsia="黑体"/>
          <w:szCs w:val="30"/>
          <w:lang w:val="zh-CN"/>
        </w:rPr>
        <w:fldChar w:fldCharType="separate"/>
      </w:r>
      <w:r>
        <w:rPr>
          <w:rFonts w:hint="eastAsia"/>
        </w:rPr>
        <w:t>7.5.3 成文信息的控制</w:t>
      </w:r>
      <w:r>
        <w:tab/>
      </w:r>
      <w:r>
        <w:fldChar w:fldCharType="begin"/>
      </w:r>
      <w:r>
        <w:instrText xml:space="preserve"> PAGEREF _Toc9956 </w:instrText>
      </w:r>
      <w:r>
        <w:fldChar w:fldCharType="separate"/>
      </w:r>
      <w:r>
        <w:t>32</w:t>
      </w:r>
      <w:r>
        <w:fldChar w:fldCharType="end"/>
      </w:r>
      <w:r>
        <w:rPr>
          <w:rFonts w:hint="eastAsia" w:ascii="黑体" w:eastAsia="黑体"/>
          <w:szCs w:val="30"/>
          <w:lang w:val="zh-CN"/>
        </w:rPr>
        <w:fldChar w:fldCharType="end"/>
      </w:r>
    </w:p>
    <w:p w14:paraId="7D4D97CE">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_Toc26637 </w:instrText>
      </w:r>
      <w:r>
        <w:rPr>
          <w:rFonts w:hint="eastAsia" w:ascii="黑体" w:eastAsia="黑体"/>
          <w:szCs w:val="30"/>
          <w:lang w:val="zh-CN"/>
        </w:rPr>
        <w:fldChar w:fldCharType="separate"/>
      </w:r>
      <w:r>
        <w:rPr>
          <w:kern w:val="0"/>
          <w:lang w:val="ru-RU"/>
        </w:rPr>
        <w:t>7.6  质量信息</w:t>
      </w:r>
      <w:r>
        <w:tab/>
      </w:r>
      <w:r>
        <w:fldChar w:fldCharType="begin"/>
      </w:r>
      <w:r>
        <w:instrText xml:space="preserve"> PAGEREF _Toc26637 </w:instrText>
      </w:r>
      <w:r>
        <w:fldChar w:fldCharType="separate"/>
      </w:r>
      <w:r>
        <w:t>35</w:t>
      </w:r>
      <w:r>
        <w:fldChar w:fldCharType="end"/>
      </w:r>
      <w:r>
        <w:rPr>
          <w:rFonts w:hint="eastAsia" w:ascii="黑体" w:eastAsia="黑体"/>
          <w:szCs w:val="30"/>
          <w:lang w:val="zh-CN"/>
        </w:rPr>
        <w:fldChar w:fldCharType="end"/>
      </w:r>
    </w:p>
    <w:p w14:paraId="515F4328">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_Toc17748 </w:instrText>
      </w:r>
      <w:r>
        <w:rPr>
          <w:rFonts w:hint="eastAsia" w:ascii="黑体" w:eastAsia="黑体"/>
          <w:szCs w:val="30"/>
          <w:lang w:val="zh-CN"/>
        </w:rPr>
        <w:fldChar w:fldCharType="separate"/>
      </w:r>
      <w:r>
        <w:rPr>
          <w:rFonts w:hint="eastAsia"/>
        </w:rPr>
        <w:t>8 运 行</w:t>
      </w:r>
      <w:r>
        <w:tab/>
      </w:r>
      <w:r>
        <w:fldChar w:fldCharType="begin"/>
      </w:r>
      <w:r>
        <w:instrText xml:space="preserve"> PAGEREF _Toc17748 </w:instrText>
      </w:r>
      <w:r>
        <w:fldChar w:fldCharType="separate"/>
      </w:r>
      <w:r>
        <w:t>36</w:t>
      </w:r>
      <w:r>
        <w:fldChar w:fldCharType="end"/>
      </w:r>
      <w:r>
        <w:rPr>
          <w:rFonts w:hint="eastAsia" w:ascii="黑体" w:eastAsia="黑体"/>
          <w:szCs w:val="30"/>
          <w:lang w:val="zh-CN"/>
        </w:rPr>
        <w:fldChar w:fldCharType="end"/>
      </w:r>
    </w:p>
    <w:p w14:paraId="150AF01E">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_Toc25321 </w:instrText>
      </w:r>
      <w:r>
        <w:rPr>
          <w:rFonts w:hint="eastAsia" w:ascii="黑体" w:eastAsia="黑体"/>
          <w:szCs w:val="30"/>
          <w:lang w:val="zh-CN"/>
        </w:rPr>
        <w:fldChar w:fldCharType="separate"/>
      </w:r>
      <w:r>
        <w:rPr>
          <w:rFonts w:hint="eastAsia"/>
        </w:rPr>
        <w:t>8.1 运行策划和控制</w:t>
      </w:r>
      <w:r>
        <w:tab/>
      </w:r>
      <w:r>
        <w:fldChar w:fldCharType="begin"/>
      </w:r>
      <w:r>
        <w:instrText xml:space="preserve"> PAGEREF _Toc25321 </w:instrText>
      </w:r>
      <w:r>
        <w:fldChar w:fldCharType="separate"/>
      </w:r>
      <w:r>
        <w:t>36</w:t>
      </w:r>
      <w:r>
        <w:fldChar w:fldCharType="end"/>
      </w:r>
      <w:r>
        <w:rPr>
          <w:rFonts w:hint="eastAsia" w:ascii="黑体" w:eastAsia="黑体"/>
          <w:szCs w:val="30"/>
          <w:lang w:val="zh-CN"/>
        </w:rPr>
        <w:fldChar w:fldCharType="end"/>
      </w:r>
    </w:p>
    <w:p w14:paraId="18F7F05E">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_Toc25310 </w:instrText>
      </w:r>
      <w:r>
        <w:rPr>
          <w:rFonts w:hint="eastAsia" w:ascii="黑体" w:eastAsia="黑体"/>
          <w:szCs w:val="30"/>
          <w:lang w:val="zh-CN"/>
        </w:rPr>
        <w:fldChar w:fldCharType="separate"/>
      </w:r>
      <w:r>
        <w:rPr>
          <w:rFonts w:hint="eastAsia"/>
        </w:rPr>
        <w:t>8.2 确定产品和服务的要求</w:t>
      </w:r>
      <w:r>
        <w:tab/>
      </w:r>
      <w:r>
        <w:fldChar w:fldCharType="begin"/>
      </w:r>
      <w:r>
        <w:instrText xml:space="preserve"> PAGEREF _Toc25310 </w:instrText>
      </w:r>
      <w:r>
        <w:fldChar w:fldCharType="separate"/>
      </w:r>
      <w:r>
        <w:t>37</w:t>
      </w:r>
      <w:r>
        <w:fldChar w:fldCharType="end"/>
      </w:r>
      <w:r>
        <w:rPr>
          <w:rFonts w:hint="eastAsia" w:ascii="黑体" w:eastAsia="黑体"/>
          <w:szCs w:val="30"/>
          <w:lang w:val="zh-CN"/>
        </w:rPr>
        <w:fldChar w:fldCharType="end"/>
      </w:r>
    </w:p>
    <w:p w14:paraId="3CA375FC">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_Toc11795 </w:instrText>
      </w:r>
      <w:r>
        <w:rPr>
          <w:rFonts w:hint="eastAsia" w:ascii="黑体" w:eastAsia="黑体"/>
          <w:szCs w:val="30"/>
          <w:lang w:val="zh-CN"/>
        </w:rPr>
        <w:fldChar w:fldCharType="separate"/>
      </w:r>
      <w:r>
        <w:rPr>
          <w:rFonts w:hint="eastAsia"/>
        </w:rPr>
        <w:t>8.2.1顾客沟通</w:t>
      </w:r>
      <w:r>
        <w:tab/>
      </w:r>
      <w:r>
        <w:fldChar w:fldCharType="begin"/>
      </w:r>
      <w:r>
        <w:instrText xml:space="preserve"> PAGEREF _Toc11795 </w:instrText>
      </w:r>
      <w:r>
        <w:fldChar w:fldCharType="separate"/>
      </w:r>
      <w:r>
        <w:t>37</w:t>
      </w:r>
      <w:r>
        <w:fldChar w:fldCharType="end"/>
      </w:r>
      <w:r>
        <w:rPr>
          <w:rFonts w:hint="eastAsia" w:ascii="黑体" w:eastAsia="黑体"/>
          <w:szCs w:val="30"/>
          <w:lang w:val="zh-CN"/>
        </w:rPr>
        <w:fldChar w:fldCharType="end"/>
      </w:r>
    </w:p>
    <w:p w14:paraId="35CEBC53">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_Toc11174 </w:instrText>
      </w:r>
      <w:r>
        <w:rPr>
          <w:rFonts w:hint="eastAsia" w:ascii="黑体" w:eastAsia="黑体"/>
          <w:szCs w:val="30"/>
          <w:lang w:val="zh-CN"/>
        </w:rPr>
        <w:fldChar w:fldCharType="separate"/>
      </w:r>
      <w:r>
        <w:rPr>
          <w:rFonts w:hint="eastAsia"/>
        </w:rPr>
        <w:t>8.2.2 与产品和服务有关要求的确定</w:t>
      </w:r>
      <w:r>
        <w:tab/>
      </w:r>
      <w:r>
        <w:fldChar w:fldCharType="begin"/>
      </w:r>
      <w:r>
        <w:instrText xml:space="preserve"> PAGEREF _Toc11174 </w:instrText>
      </w:r>
      <w:r>
        <w:fldChar w:fldCharType="separate"/>
      </w:r>
      <w:r>
        <w:t>38</w:t>
      </w:r>
      <w:r>
        <w:fldChar w:fldCharType="end"/>
      </w:r>
      <w:r>
        <w:rPr>
          <w:rFonts w:hint="eastAsia" w:ascii="黑体" w:eastAsia="黑体"/>
          <w:szCs w:val="30"/>
          <w:lang w:val="zh-CN"/>
        </w:rPr>
        <w:fldChar w:fldCharType="end"/>
      </w:r>
    </w:p>
    <w:p w14:paraId="361C21BC">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_Toc5133 </w:instrText>
      </w:r>
      <w:r>
        <w:rPr>
          <w:rFonts w:hint="eastAsia" w:ascii="黑体" w:eastAsia="黑体"/>
          <w:szCs w:val="30"/>
          <w:lang w:val="zh-CN"/>
        </w:rPr>
        <w:fldChar w:fldCharType="separate"/>
      </w:r>
      <w:r>
        <w:rPr>
          <w:rFonts w:hint="eastAsia"/>
        </w:rPr>
        <w:t>8.2.3 与产品和服务有关要求的评审</w:t>
      </w:r>
      <w:r>
        <w:tab/>
      </w:r>
      <w:r>
        <w:fldChar w:fldCharType="begin"/>
      </w:r>
      <w:r>
        <w:instrText xml:space="preserve"> PAGEREF _Toc5133 </w:instrText>
      </w:r>
      <w:r>
        <w:fldChar w:fldCharType="separate"/>
      </w:r>
      <w:r>
        <w:t>38</w:t>
      </w:r>
      <w:r>
        <w:fldChar w:fldCharType="end"/>
      </w:r>
      <w:r>
        <w:rPr>
          <w:rFonts w:hint="eastAsia" w:ascii="黑体" w:eastAsia="黑体"/>
          <w:szCs w:val="30"/>
          <w:lang w:val="zh-CN"/>
        </w:rPr>
        <w:fldChar w:fldCharType="end"/>
      </w:r>
    </w:p>
    <w:p w14:paraId="4BFB4DC3">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_Toc31590 </w:instrText>
      </w:r>
      <w:r>
        <w:rPr>
          <w:rFonts w:hint="eastAsia" w:ascii="黑体" w:eastAsia="黑体"/>
          <w:szCs w:val="30"/>
          <w:lang w:val="zh-CN"/>
        </w:rPr>
        <w:fldChar w:fldCharType="separate"/>
      </w:r>
      <w:r>
        <w:rPr>
          <w:rFonts w:hint="eastAsia"/>
        </w:rPr>
        <w:t>8.2.4 产品和服务要求的更改</w:t>
      </w:r>
      <w:r>
        <w:tab/>
      </w:r>
      <w:r>
        <w:fldChar w:fldCharType="begin"/>
      </w:r>
      <w:r>
        <w:instrText xml:space="preserve"> PAGEREF _Toc31590 </w:instrText>
      </w:r>
      <w:r>
        <w:fldChar w:fldCharType="separate"/>
      </w:r>
      <w:r>
        <w:t>39</w:t>
      </w:r>
      <w:r>
        <w:fldChar w:fldCharType="end"/>
      </w:r>
      <w:r>
        <w:rPr>
          <w:rFonts w:hint="eastAsia" w:ascii="黑体" w:eastAsia="黑体"/>
          <w:szCs w:val="30"/>
          <w:lang w:val="zh-CN"/>
        </w:rPr>
        <w:fldChar w:fldCharType="end"/>
      </w:r>
    </w:p>
    <w:p w14:paraId="0B0B2742">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_Toc22493 </w:instrText>
      </w:r>
      <w:r>
        <w:rPr>
          <w:rFonts w:hint="eastAsia" w:ascii="黑体" w:eastAsia="黑体"/>
          <w:szCs w:val="30"/>
          <w:lang w:val="zh-CN"/>
        </w:rPr>
        <w:fldChar w:fldCharType="separate"/>
      </w:r>
      <w:r>
        <w:rPr>
          <w:rFonts w:hint="eastAsia"/>
        </w:rPr>
        <w:t>8.3 产品和服务的设计和开发</w:t>
      </w:r>
      <w:r>
        <w:tab/>
      </w:r>
      <w:r>
        <w:fldChar w:fldCharType="begin"/>
      </w:r>
      <w:r>
        <w:instrText xml:space="preserve"> PAGEREF _Toc22493 </w:instrText>
      </w:r>
      <w:r>
        <w:fldChar w:fldCharType="separate"/>
      </w:r>
      <w:r>
        <w:t>39</w:t>
      </w:r>
      <w:r>
        <w:fldChar w:fldCharType="end"/>
      </w:r>
      <w:r>
        <w:rPr>
          <w:rFonts w:hint="eastAsia" w:ascii="黑体" w:eastAsia="黑体"/>
          <w:szCs w:val="30"/>
          <w:lang w:val="zh-CN"/>
        </w:rPr>
        <w:fldChar w:fldCharType="end"/>
      </w:r>
    </w:p>
    <w:p w14:paraId="312AB46F">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_Toc28258 </w:instrText>
      </w:r>
      <w:r>
        <w:rPr>
          <w:rFonts w:hint="eastAsia" w:ascii="黑体" w:eastAsia="黑体"/>
          <w:szCs w:val="30"/>
          <w:lang w:val="zh-CN"/>
        </w:rPr>
        <w:fldChar w:fldCharType="separate"/>
      </w:r>
      <w:r>
        <w:rPr>
          <w:rFonts w:hint="eastAsia"/>
        </w:rPr>
        <w:t>8.3.1 总则</w:t>
      </w:r>
      <w:r>
        <w:tab/>
      </w:r>
      <w:r>
        <w:fldChar w:fldCharType="begin"/>
      </w:r>
      <w:r>
        <w:instrText xml:space="preserve"> PAGEREF _Toc28258 </w:instrText>
      </w:r>
      <w:r>
        <w:fldChar w:fldCharType="separate"/>
      </w:r>
      <w:r>
        <w:t>39</w:t>
      </w:r>
      <w:r>
        <w:fldChar w:fldCharType="end"/>
      </w:r>
      <w:r>
        <w:rPr>
          <w:rFonts w:hint="eastAsia" w:ascii="黑体" w:eastAsia="黑体"/>
          <w:szCs w:val="30"/>
          <w:lang w:val="zh-CN"/>
        </w:rPr>
        <w:fldChar w:fldCharType="end"/>
      </w:r>
    </w:p>
    <w:p w14:paraId="4978DC11">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_Toc15557 </w:instrText>
      </w:r>
      <w:r>
        <w:rPr>
          <w:rFonts w:hint="eastAsia" w:ascii="黑体" w:eastAsia="黑体"/>
          <w:szCs w:val="30"/>
          <w:lang w:val="zh-CN"/>
        </w:rPr>
        <w:fldChar w:fldCharType="separate"/>
      </w:r>
      <w:r>
        <w:rPr>
          <w:rFonts w:hint="eastAsia"/>
        </w:rPr>
        <w:t>8.3.2 设计和开发策划</w:t>
      </w:r>
      <w:r>
        <w:tab/>
      </w:r>
      <w:r>
        <w:fldChar w:fldCharType="begin"/>
      </w:r>
      <w:r>
        <w:instrText xml:space="preserve"> PAGEREF _Toc15557 </w:instrText>
      </w:r>
      <w:r>
        <w:fldChar w:fldCharType="separate"/>
      </w:r>
      <w:r>
        <w:t>40</w:t>
      </w:r>
      <w:r>
        <w:fldChar w:fldCharType="end"/>
      </w:r>
      <w:r>
        <w:rPr>
          <w:rFonts w:hint="eastAsia" w:ascii="黑体" w:eastAsia="黑体"/>
          <w:szCs w:val="30"/>
          <w:lang w:val="zh-CN"/>
        </w:rPr>
        <w:fldChar w:fldCharType="end"/>
      </w:r>
    </w:p>
    <w:p w14:paraId="1B1A8F38">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_Toc6837 </w:instrText>
      </w:r>
      <w:r>
        <w:rPr>
          <w:rFonts w:hint="eastAsia" w:ascii="黑体" w:eastAsia="黑体"/>
          <w:szCs w:val="30"/>
          <w:lang w:val="zh-CN"/>
        </w:rPr>
        <w:fldChar w:fldCharType="separate"/>
      </w:r>
      <w:r>
        <w:rPr>
          <w:rFonts w:hint="eastAsia"/>
        </w:rPr>
        <w:t>8.3.3 设计和开发输入</w:t>
      </w:r>
      <w:r>
        <w:tab/>
      </w:r>
      <w:r>
        <w:fldChar w:fldCharType="begin"/>
      </w:r>
      <w:r>
        <w:instrText xml:space="preserve"> PAGEREF _Toc6837 </w:instrText>
      </w:r>
      <w:r>
        <w:fldChar w:fldCharType="separate"/>
      </w:r>
      <w:r>
        <w:t>41</w:t>
      </w:r>
      <w:r>
        <w:fldChar w:fldCharType="end"/>
      </w:r>
      <w:r>
        <w:rPr>
          <w:rFonts w:hint="eastAsia" w:ascii="黑体" w:eastAsia="黑体"/>
          <w:szCs w:val="30"/>
          <w:lang w:val="zh-CN"/>
        </w:rPr>
        <w:fldChar w:fldCharType="end"/>
      </w:r>
    </w:p>
    <w:p w14:paraId="1FFF3800">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_Toc26832 </w:instrText>
      </w:r>
      <w:r>
        <w:rPr>
          <w:rFonts w:hint="eastAsia" w:ascii="黑体" w:eastAsia="黑体"/>
          <w:szCs w:val="30"/>
          <w:lang w:val="zh-CN"/>
        </w:rPr>
        <w:fldChar w:fldCharType="separate"/>
      </w:r>
      <w:r>
        <w:rPr>
          <w:rFonts w:hint="eastAsia"/>
        </w:rPr>
        <w:t>8.3.4 设计和开发控制</w:t>
      </w:r>
      <w:r>
        <w:tab/>
      </w:r>
      <w:r>
        <w:fldChar w:fldCharType="begin"/>
      </w:r>
      <w:r>
        <w:instrText xml:space="preserve"> PAGEREF _Toc26832 </w:instrText>
      </w:r>
      <w:r>
        <w:fldChar w:fldCharType="separate"/>
      </w:r>
      <w:r>
        <w:t>42</w:t>
      </w:r>
      <w:r>
        <w:fldChar w:fldCharType="end"/>
      </w:r>
      <w:r>
        <w:rPr>
          <w:rFonts w:hint="eastAsia" w:ascii="黑体" w:eastAsia="黑体"/>
          <w:szCs w:val="30"/>
          <w:lang w:val="zh-CN"/>
        </w:rPr>
        <w:fldChar w:fldCharType="end"/>
      </w:r>
    </w:p>
    <w:p w14:paraId="42912D9D">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_Toc15662 </w:instrText>
      </w:r>
      <w:r>
        <w:rPr>
          <w:rFonts w:hint="eastAsia" w:ascii="黑体" w:eastAsia="黑体"/>
          <w:szCs w:val="30"/>
          <w:lang w:val="zh-CN"/>
        </w:rPr>
        <w:fldChar w:fldCharType="separate"/>
      </w:r>
      <w:r>
        <w:rPr>
          <w:rFonts w:hint="eastAsia"/>
        </w:rPr>
        <w:t>8.3.5  设计和开发输出</w:t>
      </w:r>
      <w:r>
        <w:tab/>
      </w:r>
      <w:r>
        <w:fldChar w:fldCharType="begin"/>
      </w:r>
      <w:r>
        <w:instrText xml:space="preserve"> PAGEREF _Toc15662 </w:instrText>
      </w:r>
      <w:r>
        <w:fldChar w:fldCharType="separate"/>
      </w:r>
      <w:r>
        <w:t>43</w:t>
      </w:r>
      <w:r>
        <w:fldChar w:fldCharType="end"/>
      </w:r>
      <w:r>
        <w:rPr>
          <w:rFonts w:hint="eastAsia" w:ascii="黑体" w:eastAsia="黑体"/>
          <w:szCs w:val="30"/>
          <w:lang w:val="zh-CN"/>
        </w:rPr>
        <w:fldChar w:fldCharType="end"/>
      </w:r>
    </w:p>
    <w:p w14:paraId="35BFE488">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_Toc24758 </w:instrText>
      </w:r>
      <w:r>
        <w:rPr>
          <w:rFonts w:hint="eastAsia" w:ascii="黑体" w:eastAsia="黑体"/>
          <w:szCs w:val="30"/>
          <w:lang w:val="zh-CN"/>
        </w:rPr>
        <w:fldChar w:fldCharType="separate"/>
      </w:r>
      <w:r>
        <w:rPr>
          <w:rFonts w:hint="eastAsia"/>
        </w:rPr>
        <w:t>8.3.6 设计和开发更改</w:t>
      </w:r>
      <w:r>
        <w:tab/>
      </w:r>
      <w:r>
        <w:fldChar w:fldCharType="begin"/>
      </w:r>
      <w:r>
        <w:instrText xml:space="preserve"> PAGEREF _Toc24758 </w:instrText>
      </w:r>
      <w:r>
        <w:fldChar w:fldCharType="separate"/>
      </w:r>
      <w:r>
        <w:t>43</w:t>
      </w:r>
      <w:r>
        <w:fldChar w:fldCharType="end"/>
      </w:r>
      <w:r>
        <w:rPr>
          <w:rFonts w:hint="eastAsia" w:ascii="黑体" w:eastAsia="黑体"/>
          <w:szCs w:val="30"/>
          <w:lang w:val="zh-CN"/>
        </w:rPr>
        <w:fldChar w:fldCharType="end"/>
      </w:r>
    </w:p>
    <w:p w14:paraId="5E97E31E">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_Toc15912 </w:instrText>
      </w:r>
      <w:r>
        <w:rPr>
          <w:rFonts w:hint="eastAsia" w:ascii="黑体" w:eastAsia="黑体"/>
          <w:szCs w:val="30"/>
          <w:lang w:val="zh-CN"/>
        </w:rPr>
        <w:fldChar w:fldCharType="separate"/>
      </w:r>
      <w:r>
        <w:rPr>
          <w:rFonts w:hint="eastAsia"/>
          <w:kern w:val="0"/>
          <w:lang w:val="ru-RU"/>
        </w:rPr>
        <w:t>8.3.7  新产品试制</w:t>
      </w:r>
      <w:r>
        <w:tab/>
      </w:r>
      <w:r>
        <w:fldChar w:fldCharType="begin"/>
      </w:r>
      <w:r>
        <w:instrText xml:space="preserve"> PAGEREF _Toc15912 </w:instrText>
      </w:r>
      <w:r>
        <w:fldChar w:fldCharType="separate"/>
      </w:r>
      <w:r>
        <w:t>44</w:t>
      </w:r>
      <w:r>
        <w:fldChar w:fldCharType="end"/>
      </w:r>
      <w:r>
        <w:rPr>
          <w:rFonts w:hint="eastAsia" w:ascii="黑体" w:eastAsia="黑体"/>
          <w:szCs w:val="30"/>
          <w:lang w:val="zh-CN"/>
        </w:rPr>
        <w:fldChar w:fldCharType="end"/>
      </w:r>
    </w:p>
    <w:p w14:paraId="0C334D38">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_Toc4064 </w:instrText>
      </w:r>
      <w:r>
        <w:rPr>
          <w:rFonts w:hint="eastAsia" w:ascii="黑体" w:eastAsia="黑体"/>
          <w:szCs w:val="30"/>
          <w:lang w:val="zh-CN"/>
        </w:rPr>
        <w:fldChar w:fldCharType="separate"/>
      </w:r>
      <w:r>
        <w:rPr>
          <w:rFonts w:hint="eastAsia"/>
          <w:kern w:val="0"/>
          <w:lang w:val="ru-RU"/>
        </w:rPr>
        <w:t>8.3.8  设计和开发的试验控制</w:t>
      </w:r>
      <w:r>
        <w:tab/>
      </w:r>
      <w:r>
        <w:fldChar w:fldCharType="begin"/>
      </w:r>
      <w:r>
        <w:instrText xml:space="preserve"> PAGEREF _Toc4064 </w:instrText>
      </w:r>
      <w:r>
        <w:fldChar w:fldCharType="separate"/>
      </w:r>
      <w:r>
        <w:t>44</w:t>
      </w:r>
      <w:r>
        <w:fldChar w:fldCharType="end"/>
      </w:r>
      <w:r>
        <w:rPr>
          <w:rFonts w:hint="eastAsia" w:ascii="黑体" w:eastAsia="黑体"/>
          <w:szCs w:val="30"/>
          <w:lang w:val="zh-CN"/>
        </w:rPr>
        <w:fldChar w:fldCharType="end"/>
      </w:r>
    </w:p>
    <w:p w14:paraId="5693B449">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_Toc22010 </w:instrText>
      </w:r>
      <w:r>
        <w:rPr>
          <w:rFonts w:hint="eastAsia" w:ascii="黑体" w:eastAsia="黑体"/>
          <w:szCs w:val="30"/>
          <w:lang w:val="zh-CN"/>
        </w:rPr>
        <w:fldChar w:fldCharType="separate"/>
      </w:r>
      <w:r>
        <w:rPr>
          <w:rFonts w:hint="eastAsia"/>
        </w:rPr>
        <w:t>8.4 外部提供过程、产品和服务的控制</w:t>
      </w:r>
      <w:r>
        <w:tab/>
      </w:r>
      <w:r>
        <w:fldChar w:fldCharType="begin"/>
      </w:r>
      <w:r>
        <w:instrText xml:space="preserve"> PAGEREF _Toc22010 </w:instrText>
      </w:r>
      <w:r>
        <w:fldChar w:fldCharType="separate"/>
      </w:r>
      <w:r>
        <w:t>45</w:t>
      </w:r>
      <w:r>
        <w:fldChar w:fldCharType="end"/>
      </w:r>
      <w:r>
        <w:rPr>
          <w:rFonts w:hint="eastAsia" w:ascii="黑体" w:eastAsia="黑体"/>
          <w:szCs w:val="30"/>
          <w:lang w:val="zh-CN"/>
        </w:rPr>
        <w:fldChar w:fldCharType="end"/>
      </w:r>
    </w:p>
    <w:p w14:paraId="5328C338">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_Toc9624 </w:instrText>
      </w:r>
      <w:r>
        <w:rPr>
          <w:rFonts w:hint="eastAsia" w:ascii="黑体" w:eastAsia="黑体"/>
          <w:szCs w:val="30"/>
          <w:lang w:val="zh-CN"/>
        </w:rPr>
        <w:fldChar w:fldCharType="separate"/>
      </w:r>
      <w:r>
        <w:rPr>
          <w:rFonts w:hint="eastAsia"/>
        </w:rPr>
        <w:t>8.4.1 总则</w:t>
      </w:r>
      <w:r>
        <w:tab/>
      </w:r>
      <w:r>
        <w:fldChar w:fldCharType="begin"/>
      </w:r>
      <w:r>
        <w:instrText xml:space="preserve"> PAGEREF _Toc9624 </w:instrText>
      </w:r>
      <w:r>
        <w:fldChar w:fldCharType="separate"/>
      </w:r>
      <w:r>
        <w:t>45</w:t>
      </w:r>
      <w:r>
        <w:fldChar w:fldCharType="end"/>
      </w:r>
      <w:r>
        <w:rPr>
          <w:rFonts w:hint="eastAsia" w:ascii="黑体" w:eastAsia="黑体"/>
          <w:szCs w:val="30"/>
          <w:lang w:val="zh-CN"/>
        </w:rPr>
        <w:fldChar w:fldCharType="end"/>
      </w:r>
    </w:p>
    <w:p w14:paraId="69A289A4">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_Toc5609 </w:instrText>
      </w:r>
      <w:r>
        <w:rPr>
          <w:rFonts w:hint="eastAsia" w:ascii="黑体" w:eastAsia="黑体"/>
          <w:szCs w:val="30"/>
          <w:lang w:val="zh-CN"/>
        </w:rPr>
        <w:fldChar w:fldCharType="separate"/>
      </w:r>
      <w:r>
        <w:rPr>
          <w:rFonts w:hint="eastAsia"/>
        </w:rPr>
        <w:t>8.4.2 控制类型和程度</w:t>
      </w:r>
      <w:r>
        <w:tab/>
      </w:r>
      <w:r>
        <w:fldChar w:fldCharType="begin"/>
      </w:r>
      <w:r>
        <w:instrText xml:space="preserve"> PAGEREF _Toc5609 </w:instrText>
      </w:r>
      <w:r>
        <w:fldChar w:fldCharType="separate"/>
      </w:r>
      <w:r>
        <w:t>46</w:t>
      </w:r>
      <w:r>
        <w:fldChar w:fldCharType="end"/>
      </w:r>
      <w:r>
        <w:rPr>
          <w:rFonts w:hint="eastAsia" w:ascii="黑体" w:eastAsia="黑体"/>
          <w:szCs w:val="30"/>
          <w:lang w:val="zh-CN"/>
        </w:rPr>
        <w:fldChar w:fldCharType="end"/>
      </w:r>
    </w:p>
    <w:p w14:paraId="7B5B716B">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_Toc6310 </w:instrText>
      </w:r>
      <w:r>
        <w:rPr>
          <w:rFonts w:hint="eastAsia" w:ascii="黑体" w:eastAsia="黑体"/>
          <w:szCs w:val="30"/>
          <w:lang w:val="zh-CN"/>
        </w:rPr>
        <w:fldChar w:fldCharType="separate"/>
      </w:r>
      <w:r>
        <w:rPr>
          <w:rFonts w:hint="eastAsia"/>
        </w:rPr>
        <w:t>8.4.3 外部供方的信息</w:t>
      </w:r>
      <w:r>
        <w:tab/>
      </w:r>
      <w:r>
        <w:fldChar w:fldCharType="begin"/>
      </w:r>
      <w:r>
        <w:instrText xml:space="preserve"> PAGEREF _Toc6310 </w:instrText>
      </w:r>
      <w:r>
        <w:fldChar w:fldCharType="separate"/>
      </w:r>
      <w:r>
        <w:t>46</w:t>
      </w:r>
      <w:r>
        <w:fldChar w:fldCharType="end"/>
      </w:r>
      <w:r>
        <w:rPr>
          <w:rFonts w:hint="eastAsia" w:ascii="黑体" w:eastAsia="黑体"/>
          <w:szCs w:val="30"/>
          <w:lang w:val="zh-CN"/>
        </w:rPr>
        <w:fldChar w:fldCharType="end"/>
      </w:r>
    </w:p>
    <w:p w14:paraId="6DB5EA05">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_Toc462 </w:instrText>
      </w:r>
      <w:r>
        <w:rPr>
          <w:rFonts w:hint="eastAsia" w:ascii="黑体" w:eastAsia="黑体"/>
          <w:szCs w:val="30"/>
          <w:lang w:val="zh-CN"/>
        </w:rPr>
        <w:fldChar w:fldCharType="separate"/>
      </w:r>
      <w:r>
        <w:rPr>
          <w:rFonts w:hint="eastAsia"/>
        </w:rPr>
        <w:t>8.5 生产和服务提供</w:t>
      </w:r>
      <w:r>
        <w:tab/>
      </w:r>
      <w:r>
        <w:fldChar w:fldCharType="begin"/>
      </w:r>
      <w:r>
        <w:instrText xml:space="preserve"> PAGEREF _Toc462 </w:instrText>
      </w:r>
      <w:r>
        <w:fldChar w:fldCharType="separate"/>
      </w:r>
      <w:r>
        <w:t>47</w:t>
      </w:r>
      <w:r>
        <w:fldChar w:fldCharType="end"/>
      </w:r>
      <w:r>
        <w:rPr>
          <w:rFonts w:hint="eastAsia" w:ascii="黑体" w:eastAsia="黑体"/>
          <w:szCs w:val="30"/>
          <w:lang w:val="zh-CN"/>
        </w:rPr>
        <w:fldChar w:fldCharType="end"/>
      </w:r>
    </w:p>
    <w:p w14:paraId="6CAE15F1">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_Toc27882 </w:instrText>
      </w:r>
      <w:r>
        <w:rPr>
          <w:rFonts w:hint="eastAsia" w:ascii="黑体" w:eastAsia="黑体"/>
          <w:szCs w:val="30"/>
          <w:lang w:val="zh-CN"/>
        </w:rPr>
        <w:fldChar w:fldCharType="separate"/>
      </w:r>
      <w:r>
        <w:rPr>
          <w:rFonts w:hint="eastAsia"/>
        </w:rPr>
        <w:t>8.5.1 生产和服务提供的控制</w:t>
      </w:r>
      <w:r>
        <w:tab/>
      </w:r>
      <w:r>
        <w:fldChar w:fldCharType="begin"/>
      </w:r>
      <w:r>
        <w:instrText xml:space="preserve"> PAGEREF _Toc27882 </w:instrText>
      </w:r>
      <w:r>
        <w:fldChar w:fldCharType="separate"/>
      </w:r>
      <w:r>
        <w:t>47</w:t>
      </w:r>
      <w:r>
        <w:fldChar w:fldCharType="end"/>
      </w:r>
      <w:r>
        <w:rPr>
          <w:rFonts w:hint="eastAsia" w:ascii="黑体" w:eastAsia="黑体"/>
          <w:szCs w:val="30"/>
          <w:lang w:val="zh-CN"/>
        </w:rPr>
        <w:fldChar w:fldCharType="end"/>
      </w:r>
    </w:p>
    <w:p w14:paraId="6382433F">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_Toc1996 </w:instrText>
      </w:r>
      <w:r>
        <w:rPr>
          <w:rFonts w:hint="eastAsia" w:ascii="黑体" w:eastAsia="黑体"/>
          <w:szCs w:val="30"/>
          <w:lang w:val="zh-CN"/>
        </w:rPr>
        <w:fldChar w:fldCharType="separate"/>
      </w:r>
      <w:r>
        <w:rPr>
          <w:rFonts w:hint="eastAsia"/>
        </w:rPr>
        <w:t>8.5.2 标识和可追溯性</w:t>
      </w:r>
      <w:r>
        <w:tab/>
      </w:r>
      <w:r>
        <w:fldChar w:fldCharType="begin"/>
      </w:r>
      <w:r>
        <w:instrText xml:space="preserve"> PAGEREF _Toc1996 </w:instrText>
      </w:r>
      <w:r>
        <w:fldChar w:fldCharType="separate"/>
      </w:r>
      <w:r>
        <w:t>49</w:t>
      </w:r>
      <w:r>
        <w:fldChar w:fldCharType="end"/>
      </w:r>
      <w:r>
        <w:rPr>
          <w:rFonts w:hint="eastAsia" w:ascii="黑体" w:eastAsia="黑体"/>
          <w:szCs w:val="30"/>
          <w:lang w:val="zh-CN"/>
        </w:rPr>
        <w:fldChar w:fldCharType="end"/>
      </w:r>
    </w:p>
    <w:p w14:paraId="24B7050E">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_Toc29363 </w:instrText>
      </w:r>
      <w:r>
        <w:rPr>
          <w:rFonts w:hint="eastAsia" w:ascii="黑体" w:eastAsia="黑体"/>
          <w:szCs w:val="30"/>
          <w:lang w:val="zh-CN"/>
        </w:rPr>
        <w:fldChar w:fldCharType="separate"/>
      </w:r>
      <w:r>
        <w:rPr>
          <w:rFonts w:hint="eastAsia"/>
        </w:rPr>
        <w:t>8.5.3 顾客或外部供方的财产</w:t>
      </w:r>
      <w:r>
        <w:tab/>
      </w:r>
      <w:r>
        <w:fldChar w:fldCharType="begin"/>
      </w:r>
      <w:r>
        <w:instrText xml:space="preserve"> PAGEREF _Toc29363 </w:instrText>
      </w:r>
      <w:r>
        <w:fldChar w:fldCharType="separate"/>
      </w:r>
      <w:r>
        <w:t>50</w:t>
      </w:r>
      <w:r>
        <w:fldChar w:fldCharType="end"/>
      </w:r>
      <w:r>
        <w:rPr>
          <w:rFonts w:hint="eastAsia" w:ascii="黑体" w:eastAsia="黑体"/>
          <w:szCs w:val="30"/>
          <w:lang w:val="zh-CN"/>
        </w:rPr>
        <w:fldChar w:fldCharType="end"/>
      </w:r>
    </w:p>
    <w:p w14:paraId="43489032">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_Toc20166 </w:instrText>
      </w:r>
      <w:r>
        <w:rPr>
          <w:rFonts w:hint="eastAsia" w:ascii="黑体" w:eastAsia="黑体"/>
          <w:szCs w:val="30"/>
          <w:lang w:val="zh-CN"/>
        </w:rPr>
        <w:fldChar w:fldCharType="separate"/>
      </w:r>
      <w:r>
        <w:rPr>
          <w:rFonts w:hint="eastAsia"/>
        </w:rPr>
        <w:t>8.5.4 防护</w:t>
      </w:r>
      <w:r>
        <w:tab/>
      </w:r>
      <w:r>
        <w:fldChar w:fldCharType="begin"/>
      </w:r>
      <w:r>
        <w:instrText xml:space="preserve"> PAGEREF _Toc20166 </w:instrText>
      </w:r>
      <w:r>
        <w:fldChar w:fldCharType="separate"/>
      </w:r>
      <w:r>
        <w:t>50</w:t>
      </w:r>
      <w:r>
        <w:fldChar w:fldCharType="end"/>
      </w:r>
      <w:r>
        <w:rPr>
          <w:rFonts w:hint="eastAsia" w:ascii="黑体" w:eastAsia="黑体"/>
          <w:szCs w:val="30"/>
          <w:lang w:val="zh-CN"/>
        </w:rPr>
        <w:fldChar w:fldCharType="end"/>
      </w:r>
    </w:p>
    <w:p w14:paraId="63FC56BC">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_Toc13796 </w:instrText>
      </w:r>
      <w:r>
        <w:rPr>
          <w:rFonts w:hint="eastAsia" w:ascii="黑体" w:eastAsia="黑体"/>
          <w:szCs w:val="30"/>
          <w:lang w:val="zh-CN"/>
        </w:rPr>
        <w:fldChar w:fldCharType="separate"/>
      </w:r>
      <w:r>
        <w:rPr>
          <w:rFonts w:hint="eastAsia"/>
        </w:rPr>
        <w:t>8.5.5 交付后的活动</w:t>
      </w:r>
      <w:r>
        <w:tab/>
      </w:r>
      <w:r>
        <w:fldChar w:fldCharType="begin"/>
      </w:r>
      <w:r>
        <w:instrText xml:space="preserve"> PAGEREF _Toc13796 </w:instrText>
      </w:r>
      <w:r>
        <w:fldChar w:fldCharType="separate"/>
      </w:r>
      <w:r>
        <w:t>51</w:t>
      </w:r>
      <w:r>
        <w:fldChar w:fldCharType="end"/>
      </w:r>
      <w:r>
        <w:rPr>
          <w:rFonts w:hint="eastAsia" w:ascii="黑体" w:eastAsia="黑体"/>
          <w:szCs w:val="30"/>
          <w:lang w:val="zh-CN"/>
        </w:rPr>
        <w:fldChar w:fldCharType="end"/>
      </w:r>
    </w:p>
    <w:p w14:paraId="1B2E6C42">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_Toc22903 </w:instrText>
      </w:r>
      <w:r>
        <w:rPr>
          <w:rFonts w:hint="eastAsia" w:ascii="黑体" w:eastAsia="黑体"/>
          <w:szCs w:val="30"/>
          <w:lang w:val="zh-CN"/>
        </w:rPr>
        <w:fldChar w:fldCharType="separate"/>
      </w:r>
      <w:r>
        <w:rPr>
          <w:rFonts w:hint="eastAsia"/>
        </w:rPr>
        <w:t>8.5.6 更改控制</w:t>
      </w:r>
      <w:r>
        <w:tab/>
      </w:r>
      <w:r>
        <w:fldChar w:fldCharType="begin"/>
      </w:r>
      <w:r>
        <w:instrText xml:space="preserve"> PAGEREF _Toc22903 </w:instrText>
      </w:r>
      <w:r>
        <w:fldChar w:fldCharType="separate"/>
      </w:r>
      <w:r>
        <w:t>52</w:t>
      </w:r>
      <w:r>
        <w:fldChar w:fldCharType="end"/>
      </w:r>
      <w:r>
        <w:rPr>
          <w:rFonts w:hint="eastAsia" w:ascii="黑体" w:eastAsia="黑体"/>
          <w:szCs w:val="30"/>
          <w:lang w:val="zh-CN"/>
        </w:rPr>
        <w:fldChar w:fldCharType="end"/>
      </w:r>
    </w:p>
    <w:p w14:paraId="5EA31554">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_Toc17189 </w:instrText>
      </w:r>
      <w:r>
        <w:rPr>
          <w:rFonts w:hint="eastAsia" w:ascii="黑体" w:eastAsia="黑体"/>
          <w:szCs w:val="30"/>
          <w:lang w:val="zh-CN"/>
        </w:rPr>
        <w:fldChar w:fldCharType="separate"/>
      </w:r>
      <w:r>
        <w:rPr>
          <w:rFonts w:hint="eastAsia"/>
          <w:kern w:val="0"/>
          <w:lang w:val="ru-RU"/>
        </w:rPr>
        <w:t>8.5.7 关键过程</w:t>
      </w:r>
      <w:r>
        <w:tab/>
      </w:r>
      <w:r>
        <w:fldChar w:fldCharType="begin"/>
      </w:r>
      <w:r>
        <w:instrText xml:space="preserve"> PAGEREF _Toc17189 </w:instrText>
      </w:r>
      <w:r>
        <w:fldChar w:fldCharType="separate"/>
      </w:r>
      <w:r>
        <w:t>52</w:t>
      </w:r>
      <w:r>
        <w:fldChar w:fldCharType="end"/>
      </w:r>
      <w:r>
        <w:rPr>
          <w:rFonts w:hint="eastAsia" w:ascii="黑体" w:eastAsia="黑体"/>
          <w:szCs w:val="30"/>
          <w:lang w:val="zh-CN"/>
        </w:rPr>
        <w:fldChar w:fldCharType="end"/>
      </w:r>
    </w:p>
    <w:p w14:paraId="52F6C71F">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_Toc11099 </w:instrText>
      </w:r>
      <w:r>
        <w:rPr>
          <w:rFonts w:hint="eastAsia" w:ascii="黑体" w:eastAsia="黑体"/>
          <w:szCs w:val="30"/>
          <w:lang w:val="zh-CN"/>
        </w:rPr>
        <w:fldChar w:fldCharType="separate"/>
      </w:r>
      <w:r>
        <w:rPr>
          <w:rFonts w:hint="eastAsia"/>
        </w:rPr>
        <w:t>8.6 产品和服务的放行</w:t>
      </w:r>
      <w:r>
        <w:tab/>
      </w:r>
      <w:r>
        <w:fldChar w:fldCharType="begin"/>
      </w:r>
      <w:r>
        <w:instrText xml:space="preserve"> PAGEREF _Toc11099 </w:instrText>
      </w:r>
      <w:r>
        <w:fldChar w:fldCharType="separate"/>
      </w:r>
      <w:r>
        <w:t>53</w:t>
      </w:r>
      <w:r>
        <w:fldChar w:fldCharType="end"/>
      </w:r>
      <w:r>
        <w:rPr>
          <w:rFonts w:hint="eastAsia" w:ascii="黑体" w:eastAsia="黑体"/>
          <w:szCs w:val="30"/>
          <w:lang w:val="zh-CN"/>
        </w:rPr>
        <w:fldChar w:fldCharType="end"/>
      </w:r>
    </w:p>
    <w:p w14:paraId="0567B8F7">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_Toc23470 </w:instrText>
      </w:r>
      <w:r>
        <w:rPr>
          <w:rFonts w:hint="eastAsia" w:ascii="黑体" w:eastAsia="黑体"/>
          <w:szCs w:val="30"/>
          <w:lang w:val="zh-CN"/>
        </w:rPr>
        <w:fldChar w:fldCharType="separate"/>
      </w:r>
      <w:r>
        <w:rPr>
          <w:rFonts w:hint="eastAsia"/>
        </w:rPr>
        <w:t>8.7 不合格输出的控制</w:t>
      </w:r>
      <w:r>
        <w:tab/>
      </w:r>
      <w:r>
        <w:fldChar w:fldCharType="begin"/>
      </w:r>
      <w:r>
        <w:instrText xml:space="preserve"> PAGEREF _Toc23470 </w:instrText>
      </w:r>
      <w:r>
        <w:fldChar w:fldCharType="separate"/>
      </w:r>
      <w:r>
        <w:t>55</w:t>
      </w:r>
      <w:r>
        <w:fldChar w:fldCharType="end"/>
      </w:r>
      <w:r>
        <w:rPr>
          <w:rFonts w:hint="eastAsia" w:ascii="黑体" w:eastAsia="黑体"/>
          <w:szCs w:val="30"/>
          <w:lang w:val="zh-CN"/>
        </w:rPr>
        <w:fldChar w:fldCharType="end"/>
      </w:r>
    </w:p>
    <w:p w14:paraId="7333B1F1">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_Toc17862 </w:instrText>
      </w:r>
      <w:r>
        <w:rPr>
          <w:rFonts w:hint="eastAsia" w:ascii="黑体" w:eastAsia="黑体"/>
          <w:szCs w:val="30"/>
          <w:lang w:val="zh-CN"/>
        </w:rPr>
        <w:fldChar w:fldCharType="separate"/>
      </w:r>
      <w:r>
        <w:rPr>
          <w:rFonts w:hint="eastAsia"/>
        </w:rPr>
        <w:t>9绩效评价</w:t>
      </w:r>
      <w:r>
        <w:tab/>
      </w:r>
      <w:r>
        <w:fldChar w:fldCharType="begin"/>
      </w:r>
      <w:r>
        <w:instrText xml:space="preserve"> PAGEREF _Toc17862 </w:instrText>
      </w:r>
      <w:r>
        <w:fldChar w:fldCharType="separate"/>
      </w:r>
      <w:r>
        <w:t>56</w:t>
      </w:r>
      <w:r>
        <w:fldChar w:fldCharType="end"/>
      </w:r>
      <w:r>
        <w:rPr>
          <w:rFonts w:hint="eastAsia" w:ascii="黑体" w:eastAsia="黑体"/>
          <w:szCs w:val="30"/>
          <w:lang w:val="zh-CN"/>
        </w:rPr>
        <w:fldChar w:fldCharType="end"/>
      </w:r>
    </w:p>
    <w:p w14:paraId="2731CA2F">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_Toc13432 </w:instrText>
      </w:r>
      <w:r>
        <w:rPr>
          <w:rFonts w:hint="eastAsia" w:ascii="黑体" w:eastAsia="黑体"/>
          <w:szCs w:val="30"/>
          <w:lang w:val="zh-CN"/>
        </w:rPr>
        <w:fldChar w:fldCharType="separate"/>
      </w:r>
      <w:r>
        <w:rPr>
          <w:rFonts w:hint="eastAsia"/>
        </w:rPr>
        <w:t>9.1 监视、测量、分析和评价</w:t>
      </w:r>
      <w:r>
        <w:tab/>
      </w:r>
      <w:r>
        <w:fldChar w:fldCharType="begin"/>
      </w:r>
      <w:r>
        <w:instrText xml:space="preserve"> PAGEREF _Toc13432 </w:instrText>
      </w:r>
      <w:r>
        <w:fldChar w:fldCharType="separate"/>
      </w:r>
      <w:r>
        <w:t>56</w:t>
      </w:r>
      <w:r>
        <w:fldChar w:fldCharType="end"/>
      </w:r>
      <w:r>
        <w:rPr>
          <w:rFonts w:hint="eastAsia" w:ascii="黑体" w:eastAsia="黑体"/>
          <w:szCs w:val="30"/>
          <w:lang w:val="zh-CN"/>
        </w:rPr>
        <w:fldChar w:fldCharType="end"/>
      </w:r>
    </w:p>
    <w:p w14:paraId="137402B6">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_Toc18147 </w:instrText>
      </w:r>
      <w:r>
        <w:rPr>
          <w:rFonts w:hint="eastAsia" w:ascii="黑体" w:eastAsia="黑体"/>
          <w:szCs w:val="30"/>
          <w:lang w:val="zh-CN"/>
        </w:rPr>
        <w:fldChar w:fldCharType="separate"/>
      </w:r>
      <w:r>
        <w:rPr>
          <w:rFonts w:hint="eastAsia"/>
        </w:rPr>
        <w:t>9.1.1 总则</w:t>
      </w:r>
      <w:r>
        <w:tab/>
      </w:r>
      <w:r>
        <w:fldChar w:fldCharType="begin"/>
      </w:r>
      <w:r>
        <w:instrText xml:space="preserve"> PAGEREF _Toc18147 </w:instrText>
      </w:r>
      <w:r>
        <w:fldChar w:fldCharType="separate"/>
      </w:r>
      <w:r>
        <w:t>56</w:t>
      </w:r>
      <w:r>
        <w:fldChar w:fldCharType="end"/>
      </w:r>
      <w:r>
        <w:rPr>
          <w:rFonts w:hint="eastAsia" w:ascii="黑体" w:eastAsia="黑体"/>
          <w:szCs w:val="30"/>
          <w:lang w:val="zh-CN"/>
        </w:rPr>
        <w:fldChar w:fldCharType="end"/>
      </w:r>
    </w:p>
    <w:p w14:paraId="689924AB">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_Toc975 </w:instrText>
      </w:r>
      <w:r>
        <w:rPr>
          <w:rFonts w:hint="eastAsia" w:ascii="黑体" w:eastAsia="黑体"/>
          <w:szCs w:val="30"/>
          <w:lang w:val="zh-CN"/>
        </w:rPr>
        <w:fldChar w:fldCharType="separate"/>
      </w:r>
      <w:r>
        <w:rPr>
          <w:rFonts w:hint="eastAsia"/>
        </w:rPr>
        <w:t>9.1.2 顾客满意</w:t>
      </w:r>
      <w:r>
        <w:tab/>
      </w:r>
      <w:r>
        <w:fldChar w:fldCharType="begin"/>
      </w:r>
      <w:r>
        <w:instrText xml:space="preserve"> PAGEREF _Toc975 </w:instrText>
      </w:r>
      <w:r>
        <w:fldChar w:fldCharType="separate"/>
      </w:r>
      <w:r>
        <w:t>57</w:t>
      </w:r>
      <w:r>
        <w:fldChar w:fldCharType="end"/>
      </w:r>
      <w:r>
        <w:rPr>
          <w:rFonts w:hint="eastAsia" w:ascii="黑体" w:eastAsia="黑体"/>
          <w:szCs w:val="30"/>
          <w:lang w:val="zh-CN"/>
        </w:rPr>
        <w:fldChar w:fldCharType="end"/>
      </w:r>
    </w:p>
    <w:p w14:paraId="30F44728">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_Toc366 </w:instrText>
      </w:r>
      <w:r>
        <w:rPr>
          <w:rFonts w:hint="eastAsia" w:ascii="黑体" w:eastAsia="黑体"/>
          <w:szCs w:val="30"/>
          <w:lang w:val="zh-CN"/>
        </w:rPr>
        <w:fldChar w:fldCharType="separate"/>
      </w:r>
      <w:r>
        <w:rPr>
          <w:rFonts w:hint="eastAsia"/>
        </w:rPr>
        <w:t>9.1.3 分析与评价</w:t>
      </w:r>
      <w:r>
        <w:tab/>
      </w:r>
      <w:r>
        <w:fldChar w:fldCharType="begin"/>
      </w:r>
      <w:r>
        <w:instrText xml:space="preserve"> PAGEREF _Toc366 </w:instrText>
      </w:r>
      <w:r>
        <w:fldChar w:fldCharType="separate"/>
      </w:r>
      <w:r>
        <w:t>57</w:t>
      </w:r>
      <w:r>
        <w:fldChar w:fldCharType="end"/>
      </w:r>
      <w:r>
        <w:rPr>
          <w:rFonts w:hint="eastAsia" w:ascii="黑体" w:eastAsia="黑体"/>
          <w:szCs w:val="30"/>
          <w:lang w:val="zh-CN"/>
        </w:rPr>
        <w:fldChar w:fldCharType="end"/>
      </w:r>
    </w:p>
    <w:p w14:paraId="52705225">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_Toc30878 </w:instrText>
      </w:r>
      <w:r>
        <w:rPr>
          <w:rFonts w:hint="eastAsia" w:ascii="黑体" w:eastAsia="黑体"/>
          <w:szCs w:val="30"/>
          <w:lang w:val="zh-CN"/>
        </w:rPr>
        <w:fldChar w:fldCharType="separate"/>
      </w:r>
      <w:r>
        <w:rPr>
          <w:rFonts w:hint="eastAsia"/>
        </w:rPr>
        <w:t>9.2内部审核</w:t>
      </w:r>
      <w:r>
        <w:tab/>
      </w:r>
      <w:r>
        <w:fldChar w:fldCharType="begin"/>
      </w:r>
      <w:r>
        <w:instrText xml:space="preserve"> PAGEREF _Toc30878 </w:instrText>
      </w:r>
      <w:r>
        <w:fldChar w:fldCharType="separate"/>
      </w:r>
      <w:r>
        <w:t>58</w:t>
      </w:r>
      <w:r>
        <w:fldChar w:fldCharType="end"/>
      </w:r>
      <w:r>
        <w:rPr>
          <w:rFonts w:hint="eastAsia" w:ascii="黑体" w:eastAsia="黑体"/>
          <w:szCs w:val="30"/>
          <w:lang w:val="zh-CN"/>
        </w:rPr>
        <w:fldChar w:fldCharType="end"/>
      </w:r>
    </w:p>
    <w:p w14:paraId="784EC0A4">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_Toc23387 </w:instrText>
      </w:r>
      <w:r>
        <w:rPr>
          <w:rFonts w:hint="eastAsia" w:ascii="黑体" w:eastAsia="黑体"/>
          <w:szCs w:val="30"/>
          <w:lang w:val="zh-CN"/>
        </w:rPr>
        <w:fldChar w:fldCharType="separate"/>
      </w:r>
      <w:r>
        <w:rPr>
          <w:rFonts w:hint="eastAsia"/>
        </w:rPr>
        <w:t>9.3管理评审</w:t>
      </w:r>
      <w:r>
        <w:tab/>
      </w:r>
      <w:r>
        <w:fldChar w:fldCharType="begin"/>
      </w:r>
      <w:r>
        <w:instrText xml:space="preserve"> PAGEREF _Toc23387 </w:instrText>
      </w:r>
      <w:r>
        <w:fldChar w:fldCharType="separate"/>
      </w:r>
      <w:r>
        <w:t>58</w:t>
      </w:r>
      <w:r>
        <w:fldChar w:fldCharType="end"/>
      </w:r>
      <w:r>
        <w:rPr>
          <w:rFonts w:hint="eastAsia" w:ascii="黑体" w:eastAsia="黑体"/>
          <w:szCs w:val="30"/>
          <w:lang w:val="zh-CN"/>
        </w:rPr>
        <w:fldChar w:fldCharType="end"/>
      </w:r>
    </w:p>
    <w:p w14:paraId="7E102E5A">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_Toc20712 </w:instrText>
      </w:r>
      <w:r>
        <w:rPr>
          <w:rFonts w:hint="eastAsia" w:ascii="黑体" w:eastAsia="黑体"/>
          <w:szCs w:val="30"/>
          <w:lang w:val="zh-CN"/>
        </w:rPr>
        <w:fldChar w:fldCharType="separate"/>
      </w:r>
      <w:r>
        <w:rPr>
          <w:rFonts w:hint="eastAsia"/>
          <w:kern w:val="0"/>
        </w:rPr>
        <w:t>9.3.1 总则</w:t>
      </w:r>
      <w:r>
        <w:tab/>
      </w:r>
      <w:r>
        <w:fldChar w:fldCharType="begin"/>
      </w:r>
      <w:r>
        <w:instrText xml:space="preserve"> PAGEREF _Toc20712 </w:instrText>
      </w:r>
      <w:r>
        <w:fldChar w:fldCharType="separate"/>
      </w:r>
      <w:r>
        <w:t>58</w:t>
      </w:r>
      <w:r>
        <w:fldChar w:fldCharType="end"/>
      </w:r>
      <w:r>
        <w:rPr>
          <w:rFonts w:hint="eastAsia" w:ascii="黑体" w:eastAsia="黑体"/>
          <w:szCs w:val="30"/>
          <w:lang w:val="zh-CN"/>
        </w:rPr>
        <w:fldChar w:fldCharType="end"/>
      </w:r>
    </w:p>
    <w:p w14:paraId="1106DF4C">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_Toc29408 </w:instrText>
      </w:r>
      <w:r>
        <w:rPr>
          <w:rFonts w:hint="eastAsia" w:ascii="黑体" w:eastAsia="黑体"/>
          <w:szCs w:val="30"/>
          <w:lang w:val="zh-CN"/>
        </w:rPr>
        <w:fldChar w:fldCharType="separate"/>
      </w:r>
      <w:r>
        <w:rPr>
          <w:rFonts w:hint="eastAsia"/>
          <w:kern w:val="0"/>
        </w:rPr>
        <w:t>9.3.2 管理评审输入</w:t>
      </w:r>
      <w:r>
        <w:tab/>
      </w:r>
      <w:r>
        <w:fldChar w:fldCharType="begin"/>
      </w:r>
      <w:r>
        <w:instrText xml:space="preserve"> PAGEREF _Toc29408 </w:instrText>
      </w:r>
      <w:r>
        <w:fldChar w:fldCharType="separate"/>
      </w:r>
      <w:r>
        <w:t>59</w:t>
      </w:r>
      <w:r>
        <w:fldChar w:fldCharType="end"/>
      </w:r>
      <w:r>
        <w:rPr>
          <w:rFonts w:hint="eastAsia" w:ascii="黑体" w:eastAsia="黑体"/>
          <w:szCs w:val="30"/>
          <w:lang w:val="zh-CN"/>
        </w:rPr>
        <w:fldChar w:fldCharType="end"/>
      </w:r>
    </w:p>
    <w:p w14:paraId="7F1BCF36">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_Toc12625 </w:instrText>
      </w:r>
      <w:r>
        <w:rPr>
          <w:rFonts w:hint="eastAsia" w:ascii="黑体" w:eastAsia="黑体"/>
          <w:szCs w:val="30"/>
          <w:lang w:val="zh-CN"/>
        </w:rPr>
        <w:fldChar w:fldCharType="separate"/>
      </w:r>
      <w:r>
        <w:rPr>
          <w:rFonts w:hint="eastAsia"/>
          <w:kern w:val="0"/>
        </w:rPr>
        <w:t>9.3.3 管理评审输出</w:t>
      </w:r>
      <w:r>
        <w:tab/>
      </w:r>
      <w:r>
        <w:fldChar w:fldCharType="begin"/>
      </w:r>
      <w:r>
        <w:instrText xml:space="preserve"> PAGEREF _Toc12625 </w:instrText>
      </w:r>
      <w:r>
        <w:fldChar w:fldCharType="separate"/>
      </w:r>
      <w:r>
        <w:t>59</w:t>
      </w:r>
      <w:r>
        <w:fldChar w:fldCharType="end"/>
      </w:r>
      <w:r>
        <w:rPr>
          <w:rFonts w:hint="eastAsia" w:ascii="黑体" w:eastAsia="黑体"/>
          <w:szCs w:val="30"/>
          <w:lang w:val="zh-CN"/>
        </w:rPr>
        <w:fldChar w:fldCharType="end"/>
      </w:r>
    </w:p>
    <w:p w14:paraId="53AFE0BF">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_Toc17509 </w:instrText>
      </w:r>
      <w:r>
        <w:rPr>
          <w:rFonts w:hint="eastAsia" w:ascii="黑体" w:eastAsia="黑体"/>
          <w:szCs w:val="30"/>
          <w:lang w:val="zh-CN"/>
        </w:rPr>
        <w:fldChar w:fldCharType="separate"/>
      </w:r>
      <w:r>
        <w:rPr>
          <w:rFonts w:hint="eastAsia"/>
        </w:rPr>
        <w:t>10 改进</w:t>
      </w:r>
      <w:r>
        <w:tab/>
      </w:r>
      <w:r>
        <w:fldChar w:fldCharType="begin"/>
      </w:r>
      <w:r>
        <w:instrText xml:space="preserve"> PAGEREF _Toc17509 </w:instrText>
      </w:r>
      <w:r>
        <w:fldChar w:fldCharType="separate"/>
      </w:r>
      <w:r>
        <w:t>60</w:t>
      </w:r>
      <w:r>
        <w:fldChar w:fldCharType="end"/>
      </w:r>
      <w:r>
        <w:rPr>
          <w:rFonts w:hint="eastAsia" w:ascii="黑体" w:eastAsia="黑体"/>
          <w:szCs w:val="30"/>
          <w:lang w:val="zh-CN"/>
        </w:rPr>
        <w:fldChar w:fldCharType="end"/>
      </w:r>
    </w:p>
    <w:p w14:paraId="4A30BC84">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_Toc11682 </w:instrText>
      </w:r>
      <w:r>
        <w:rPr>
          <w:rFonts w:hint="eastAsia" w:ascii="黑体" w:eastAsia="黑体"/>
          <w:szCs w:val="30"/>
          <w:lang w:val="zh-CN"/>
        </w:rPr>
        <w:fldChar w:fldCharType="separate"/>
      </w:r>
      <w:r>
        <w:rPr>
          <w:rFonts w:hint="eastAsia"/>
        </w:rPr>
        <w:t>10.1 总则</w:t>
      </w:r>
      <w:r>
        <w:tab/>
      </w:r>
      <w:r>
        <w:fldChar w:fldCharType="begin"/>
      </w:r>
      <w:r>
        <w:instrText xml:space="preserve"> PAGEREF _Toc11682 </w:instrText>
      </w:r>
      <w:r>
        <w:fldChar w:fldCharType="separate"/>
      </w:r>
      <w:r>
        <w:t>60</w:t>
      </w:r>
      <w:r>
        <w:fldChar w:fldCharType="end"/>
      </w:r>
      <w:r>
        <w:rPr>
          <w:rFonts w:hint="eastAsia" w:ascii="黑体" w:eastAsia="黑体"/>
          <w:szCs w:val="30"/>
          <w:lang w:val="zh-CN"/>
        </w:rPr>
        <w:fldChar w:fldCharType="end"/>
      </w:r>
    </w:p>
    <w:p w14:paraId="36049217">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_Toc8560 </w:instrText>
      </w:r>
      <w:r>
        <w:rPr>
          <w:rFonts w:hint="eastAsia" w:ascii="黑体" w:eastAsia="黑体"/>
          <w:szCs w:val="30"/>
          <w:lang w:val="zh-CN"/>
        </w:rPr>
        <w:fldChar w:fldCharType="separate"/>
      </w:r>
      <w:r>
        <w:rPr>
          <w:rFonts w:hint="eastAsia"/>
        </w:rPr>
        <w:t>10.2 不合格和纠正措施</w:t>
      </w:r>
      <w:r>
        <w:tab/>
      </w:r>
      <w:r>
        <w:fldChar w:fldCharType="begin"/>
      </w:r>
      <w:r>
        <w:instrText xml:space="preserve"> PAGEREF _Toc8560 </w:instrText>
      </w:r>
      <w:r>
        <w:fldChar w:fldCharType="separate"/>
      </w:r>
      <w:r>
        <w:t>60</w:t>
      </w:r>
      <w:r>
        <w:fldChar w:fldCharType="end"/>
      </w:r>
      <w:r>
        <w:rPr>
          <w:rFonts w:hint="eastAsia" w:ascii="黑体" w:eastAsia="黑体"/>
          <w:szCs w:val="30"/>
          <w:lang w:val="zh-CN"/>
        </w:rPr>
        <w:fldChar w:fldCharType="end"/>
      </w:r>
    </w:p>
    <w:p w14:paraId="77B04146">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_Toc12968 </w:instrText>
      </w:r>
      <w:r>
        <w:rPr>
          <w:rFonts w:hint="eastAsia" w:ascii="黑体" w:eastAsia="黑体"/>
          <w:szCs w:val="30"/>
          <w:lang w:val="zh-CN"/>
        </w:rPr>
        <w:fldChar w:fldCharType="separate"/>
      </w:r>
      <w:r>
        <w:rPr>
          <w:rFonts w:hint="eastAsia"/>
        </w:rPr>
        <w:t>10.3 持续改进</w:t>
      </w:r>
      <w:r>
        <w:tab/>
      </w:r>
      <w:r>
        <w:fldChar w:fldCharType="begin"/>
      </w:r>
      <w:r>
        <w:instrText xml:space="preserve"> PAGEREF _Toc12968 </w:instrText>
      </w:r>
      <w:r>
        <w:fldChar w:fldCharType="separate"/>
      </w:r>
      <w:r>
        <w:t>61</w:t>
      </w:r>
      <w:r>
        <w:fldChar w:fldCharType="end"/>
      </w:r>
      <w:r>
        <w:rPr>
          <w:rFonts w:hint="eastAsia" w:ascii="黑体" w:eastAsia="黑体"/>
          <w:szCs w:val="30"/>
          <w:lang w:val="zh-CN"/>
        </w:rPr>
        <w:fldChar w:fldCharType="end"/>
      </w:r>
    </w:p>
    <w:p w14:paraId="1B013578">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_Toc1933 </w:instrText>
      </w:r>
      <w:r>
        <w:rPr>
          <w:rFonts w:hint="eastAsia" w:ascii="黑体" w:eastAsia="黑体"/>
          <w:szCs w:val="30"/>
          <w:lang w:val="zh-CN"/>
        </w:rPr>
        <w:fldChar w:fldCharType="separate"/>
      </w:r>
      <w:r>
        <w:rPr>
          <w:rFonts w:hint="eastAsia"/>
          <w:lang w:eastAsia="zh-CN"/>
        </w:rPr>
        <w:t>附录A 质量管理体系组织机构图</w:t>
      </w:r>
      <w:r>
        <w:tab/>
      </w:r>
      <w:r>
        <w:fldChar w:fldCharType="begin"/>
      </w:r>
      <w:r>
        <w:instrText xml:space="preserve"> PAGEREF _Toc1933 </w:instrText>
      </w:r>
      <w:r>
        <w:fldChar w:fldCharType="separate"/>
      </w:r>
      <w:r>
        <w:t>62</w:t>
      </w:r>
      <w:r>
        <w:fldChar w:fldCharType="end"/>
      </w:r>
      <w:r>
        <w:rPr>
          <w:rFonts w:hint="eastAsia" w:ascii="黑体" w:eastAsia="黑体"/>
          <w:szCs w:val="30"/>
          <w:lang w:val="zh-CN"/>
        </w:rPr>
        <w:fldChar w:fldCharType="end"/>
      </w:r>
    </w:p>
    <w:p w14:paraId="4FE88352">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_Toc29771 </w:instrText>
      </w:r>
      <w:r>
        <w:rPr>
          <w:rFonts w:hint="eastAsia" w:ascii="黑体" w:eastAsia="黑体"/>
          <w:szCs w:val="30"/>
          <w:lang w:val="zh-CN"/>
        </w:rPr>
        <w:fldChar w:fldCharType="separate"/>
      </w:r>
      <w:r>
        <w:rPr>
          <w:rFonts w:hint="eastAsia"/>
          <w:lang w:eastAsia="zh-CN"/>
        </w:rPr>
        <w:t>附件B质量管理体系体系过程与职能矩阵</w:t>
      </w:r>
      <w:r>
        <w:tab/>
      </w:r>
      <w:r>
        <w:fldChar w:fldCharType="begin"/>
      </w:r>
      <w:r>
        <w:instrText xml:space="preserve"> PAGEREF _Toc29771 </w:instrText>
      </w:r>
      <w:r>
        <w:fldChar w:fldCharType="separate"/>
      </w:r>
      <w:r>
        <w:t>63</w:t>
      </w:r>
      <w:r>
        <w:fldChar w:fldCharType="end"/>
      </w:r>
      <w:r>
        <w:rPr>
          <w:rFonts w:hint="eastAsia" w:ascii="黑体" w:eastAsia="黑体"/>
          <w:szCs w:val="30"/>
          <w:lang w:val="zh-CN"/>
        </w:rPr>
        <w:fldChar w:fldCharType="end"/>
      </w:r>
    </w:p>
    <w:p w14:paraId="26DB134F">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_Toc30004 </w:instrText>
      </w:r>
      <w:r>
        <w:rPr>
          <w:rFonts w:hint="eastAsia" w:ascii="黑体" w:eastAsia="黑体"/>
          <w:szCs w:val="30"/>
          <w:lang w:val="zh-CN"/>
        </w:rPr>
        <w:fldChar w:fldCharType="separate"/>
      </w:r>
      <w:r>
        <w:rPr>
          <w:rFonts w:hint="eastAsia"/>
          <w:lang w:eastAsia="zh-CN"/>
        </w:rPr>
        <w:t>附件C过程文件目录</w:t>
      </w:r>
      <w:r>
        <w:tab/>
      </w:r>
      <w:r>
        <w:fldChar w:fldCharType="begin"/>
      </w:r>
      <w:r>
        <w:instrText xml:space="preserve"> PAGEREF _Toc30004 </w:instrText>
      </w:r>
      <w:r>
        <w:fldChar w:fldCharType="separate"/>
      </w:r>
      <w:r>
        <w:t>66</w:t>
      </w:r>
      <w:r>
        <w:fldChar w:fldCharType="end"/>
      </w:r>
      <w:r>
        <w:rPr>
          <w:rFonts w:hint="eastAsia" w:ascii="黑体" w:eastAsia="黑体"/>
          <w:szCs w:val="30"/>
          <w:lang w:val="zh-CN"/>
        </w:rPr>
        <w:fldChar w:fldCharType="end"/>
      </w:r>
    </w:p>
    <w:p w14:paraId="3353107D">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_Toc17053 </w:instrText>
      </w:r>
      <w:r>
        <w:rPr>
          <w:rFonts w:hint="eastAsia" w:ascii="黑体" w:eastAsia="黑体"/>
          <w:szCs w:val="30"/>
          <w:lang w:val="zh-CN"/>
        </w:rPr>
        <w:fldChar w:fldCharType="separate"/>
      </w:r>
      <w:r>
        <w:rPr>
          <w:rFonts w:hint="eastAsia"/>
          <w:lang w:eastAsia="zh-CN"/>
        </w:rPr>
        <w:t>附录D产品实现流程</w:t>
      </w:r>
      <w:r>
        <w:tab/>
      </w:r>
      <w:r>
        <w:fldChar w:fldCharType="begin"/>
      </w:r>
      <w:r>
        <w:instrText xml:space="preserve"> PAGEREF _Toc17053 </w:instrText>
      </w:r>
      <w:r>
        <w:fldChar w:fldCharType="separate"/>
      </w:r>
      <w:r>
        <w:t>67</w:t>
      </w:r>
      <w:r>
        <w:fldChar w:fldCharType="end"/>
      </w:r>
      <w:r>
        <w:rPr>
          <w:rFonts w:hint="eastAsia" w:ascii="黑体" w:eastAsia="黑体"/>
          <w:szCs w:val="30"/>
          <w:lang w:val="zh-CN"/>
        </w:rPr>
        <w:fldChar w:fldCharType="end"/>
      </w:r>
    </w:p>
    <w:p w14:paraId="7B7060AB">
      <w:pPr>
        <w:spacing w:line="360" w:lineRule="auto"/>
        <w:jc w:val="both"/>
        <w:rPr>
          <w:rFonts w:hint="eastAsia" w:ascii="黑体" w:eastAsia="黑体"/>
          <w:b/>
          <w:sz w:val="30"/>
          <w:szCs w:val="30"/>
          <w:lang w:val="zh-CN"/>
        </w:rPr>
      </w:pPr>
      <w:r>
        <w:rPr>
          <w:rFonts w:hint="eastAsia" w:ascii="黑体" w:eastAsia="黑体"/>
          <w:szCs w:val="30"/>
          <w:lang w:val="zh-CN"/>
        </w:rPr>
        <w:fldChar w:fldCharType="end"/>
      </w:r>
    </w:p>
    <w:p w14:paraId="320A7794">
      <w:pPr>
        <w:pStyle w:val="27"/>
        <w:tabs>
          <w:tab w:val="right" w:leader="dot" w:pos="8789"/>
          <w:tab w:val="clear" w:pos="8296"/>
        </w:tabs>
        <w:spacing w:line="240" w:lineRule="auto"/>
        <w:rPr>
          <w:rFonts w:hint="eastAsia"/>
          <w:b w:val="0"/>
          <w:lang w:eastAsia="zh-CN"/>
        </w:rPr>
      </w:pPr>
    </w:p>
    <w:p w14:paraId="3068507F">
      <w:pPr>
        <w:rPr>
          <w:rFonts w:ascii="宋体" w:hAnsi="宋体"/>
        </w:rPr>
      </w:pPr>
    </w:p>
    <w:p w14:paraId="47817C3A">
      <w:pPr>
        <w:rPr>
          <w:rFonts w:ascii="宋体" w:hAnsi="宋体"/>
        </w:rPr>
      </w:pPr>
    </w:p>
    <w:p w14:paraId="171F643B">
      <w:pPr>
        <w:rPr>
          <w:rFonts w:ascii="宋体" w:hAnsi="宋体"/>
        </w:rPr>
      </w:pPr>
    </w:p>
    <w:p w14:paraId="2F150F8A">
      <w:pPr>
        <w:rPr>
          <w:rFonts w:ascii="宋体" w:hAnsi="宋体"/>
        </w:rPr>
      </w:pPr>
    </w:p>
    <w:p w14:paraId="58CC8182">
      <w:pPr>
        <w:rPr>
          <w:rFonts w:ascii="宋体" w:hAnsi="宋体"/>
        </w:rPr>
      </w:pPr>
    </w:p>
    <w:p w14:paraId="5C7C078A">
      <w:pPr>
        <w:rPr>
          <w:rFonts w:ascii="宋体" w:hAnsi="宋体"/>
        </w:rPr>
      </w:pPr>
    </w:p>
    <w:p w14:paraId="5D87DEB3">
      <w:pPr>
        <w:rPr>
          <w:rFonts w:ascii="宋体" w:hAnsi="宋体"/>
        </w:rPr>
      </w:pPr>
    </w:p>
    <w:p w14:paraId="417F7AE9">
      <w:pPr>
        <w:rPr>
          <w:rFonts w:ascii="宋体" w:hAnsi="宋体"/>
        </w:rPr>
      </w:pPr>
    </w:p>
    <w:p w14:paraId="4D8BDB81">
      <w:pPr>
        <w:rPr>
          <w:rFonts w:ascii="宋体" w:hAnsi="宋体"/>
        </w:rPr>
      </w:pPr>
    </w:p>
    <w:p w14:paraId="05D39D71">
      <w:pPr>
        <w:rPr>
          <w:rFonts w:ascii="宋体" w:hAnsi="宋体"/>
        </w:rPr>
        <w:sectPr>
          <w:headerReference r:id="rId5" w:type="default"/>
          <w:footerReference r:id="rId6" w:type="default"/>
          <w:footerReference r:id="rId7" w:type="even"/>
          <w:pgSz w:w="11906" w:h="16838"/>
          <w:pgMar w:top="1440" w:right="1700" w:bottom="1440" w:left="1380" w:header="851" w:footer="992" w:gutter="0"/>
          <w:pgNumType w:start="1"/>
          <w:cols w:space="720" w:num="1"/>
          <w:titlePg/>
          <w:docGrid w:type="lines" w:linePitch="312" w:charSpace="0"/>
        </w:sectPr>
      </w:pPr>
    </w:p>
    <w:p w14:paraId="75A3100C">
      <w:pPr>
        <w:pStyle w:val="80"/>
        <w:jc w:val="center"/>
        <w:rPr>
          <w:rFonts w:hint="eastAsia"/>
          <w:lang w:eastAsia="zh-CN"/>
        </w:rPr>
      </w:pPr>
      <w:bookmarkStart w:id="0" w:name="_Toc536539637"/>
      <w:bookmarkStart w:id="1" w:name="_Toc2443"/>
      <w:r>
        <w:rPr>
          <w:rFonts w:hint="eastAsia"/>
          <w:lang w:eastAsia="zh-CN"/>
        </w:rPr>
        <w:t>前  言</w:t>
      </w:r>
      <w:bookmarkEnd w:id="0"/>
      <w:bookmarkEnd w:id="1"/>
      <w:bookmarkStart w:id="2" w:name="_Toc536539638"/>
      <w:bookmarkStart w:id="3" w:name="_Toc352425662"/>
      <w:bookmarkStart w:id="4" w:name="_Toc277321170"/>
    </w:p>
    <w:p w14:paraId="4F43BAC5">
      <w:pPr>
        <w:pStyle w:val="80"/>
        <w:jc w:val="center"/>
        <w:rPr>
          <w:rFonts w:hint="eastAsia" w:ascii="黑体" w:hAnsi="宋体" w:eastAsia="黑体"/>
          <w:b w:val="0"/>
          <w:sz w:val="30"/>
          <w:szCs w:val="30"/>
        </w:rPr>
      </w:pPr>
      <w:bookmarkStart w:id="5" w:name="_Toc22068"/>
      <w:r>
        <w:rPr>
          <w:rFonts w:hint="eastAsia" w:ascii="黑体" w:hAnsi="宋体" w:eastAsia="黑体"/>
          <w:b w:val="0"/>
          <w:sz w:val="30"/>
          <w:szCs w:val="30"/>
        </w:rPr>
        <w:t>0.1 企业概况</w:t>
      </w:r>
      <w:bookmarkEnd w:id="2"/>
      <w:bookmarkEnd w:id="5"/>
    </w:p>
    <w:bookmarkEnd w:id="3"/>
    <w:bookmarkEnd w:id="4"/>
    <w:p w14:paraId="212CEDA2">
      <w:pPr>
        <w:spacing w:line="300" w:lineRule="auto"/>
        <w:ind w:firstLine="480" w:firstLineChars="200"/>
        <w:rPr>
          <w:rFonts w:hint="eastAsia"/>
          <w:sz w:val="24"/>
        </w:rPr>
      </w:pPr>
      <w:bookmarkStart w:id="6" w:name="_Toc277321171"/>
    </w:p>
    <w:p w14:paraId="45BC0504">
      <w:pPr>
        <w:spacing w:line="300" w:lineRule="auto"/>
        <w:ind w:firstLine="480" w:firstLineChars="200"/>
        <w:rPr>
          <w:rFonts w:hint="eastAsia"/>
          <w:sz w:val="24"/>
          <w:szCs w:val="24"/>
        </w:rPr>
      </w:pPr>
      <w:r>
        <w:rPr>
          <w:rFonts w:hint="eastAsia" w:ascii="宋体" w:hAnsi="宋体"/>
          <w:color w:val="000000" w:themeColor="text1"/>
          <w:sz w:val="24"/>
          <w:szCs w:val="24"/>
          <w:lang w:val="en-US" w:eastAsia="zh-CN"/>
          <w14:textFill>
            <w14:solidFill>
              <w14:schemeClr w14:val="tx1"/>
            </w14:solidFill>
          </w14:textFill>
        </w:rPr>
        <w:t>{</w:t>
      </w:r>
      <w:r>
        <w:rPr>
          <w:rFonts w:hint="eastAsia" w:ascii="宋体" w:hAnsi="宋体"/>
          <w:color w:val="000000" w:themeColor="text1"/>
          <w:sz w:val="24"/>
          <w:szCs w:val="24"/>
          <w:u w:val="none"/>
          <w:lang w:val="en-US" w:eastAsia="zh-CN"/>
          <w14:textFill>
            <w14:solidFill>
              <w14:schemeClr w14:val="tx1"/>
            </w14:solidFill>
          </w14:textFill>
        </w:rPr>
        <w:t>summaries</w:t>
      </w:r>
      <w:r>
        <w:rPr>
          <w:rFonts w:hint="eastAsia" w:ascii="宋体" w:hAnsi="宋体"/>
          <w:color w:val="000000" w:themeColor="text1"/>
          <w:sz w:val="24"/>
          <w:szCs w:val="24"/>
          <w:lang w:val="en-US" w:eastAsia="zh-CN"/>
          <w14:textFill>
            <w14:solidFill>
              <w14:schemeClr w14:val="tx1"/>
            </w14:solidFill>
          </w14:textFill>
        </w:rPr>
        <w:t>}</w:t>
      </w:r>
    </w:p>
    <w:p w14:paraId="132BD6C7">
      <w:pPr>
        <w:spacing w:line="300" w:lineRule="auto"/>
        <w:ind w:firstLine="480" w:firstLineChars="200"/>
        <w:rPr>
          <w:rFonts w:hint="eastAsia"/>
          <w:sz w:val="24"/>
        </w:rPr>
      </w:pPr>
    </w:p>
    <w:p w14:paraId="247655E8">
      <w:pPr>
        <w:pStyle w:val="2"/>
        <w:tabs>
          <w:tab w:val="left" w:pos="720"/>
          <w:tab w:val="left" w:pos="3990"/>
        </w:tabs>
        <w:adjustRightInd w:val="0"/>
        <w:snapToGrid w:val="0"/>
        <w:spacing w:before="0" w:after="0"/>
        <w:jc w:val="center"/>
        <w:rPr>
          <w:rFonts w:hint="eastAsia" w:ascii="黑体" w:hAnsi="宋体" w:eastAsia="黑体"/>
          <w:b w:val="0"/>
          <w:sz w:val="30"/>
          <w:szCs w:val="30"/>
        </w:rPr>
      </w:pPr>
      <w:r>
        <w:rPr>
          <w:rFonts w:hint="eastAsia" w:ascii="Times New Roman" w:hAnsi="Times New Roman"/>
          <w:b w:val="0"/>
          <w:bCs w:val="0"/>
          <w:kern w:val="2"/>
          <w:sz w:val="24"/>
          <w:szCs w:val="22"/>
        </w:rPr>
        <w:br w:type="page"/>
      </w:r>
      <w:bookmarkStart w:id="7" w:name="_Toc536539639"/>
      <w:bookmarkStart w:id="8" w:name="_Toc31772"/>
      <w:r>
        <w:rPr>
          <w:rFonts w:hint="eastAsia" w:ascii="黑体" w:hAnsi="宋体" w:eastAsia="黑体"/>
          <w:b/>
          <w:bCs w:val="0"/>
          <w:sz w:val="30"/>
          <w:szCs w:val="30"/>
        </w:rPr>
        <w:t>0.2质量手册颁布令</w:t>
      </w:r>
      <w:bookmarkEnd w:id="7"/>
      <w:bookmarkEnd w:id="8"/>
    </w:p>
    <w:p w14:paraId="4585F5E3">
      <w:pPr>
        <w:tabs>
          <w:tab w:val="left" w:pos="1575"/>
        </w:tabs>
        <w:spacing w:line="360" w:lineRule="auto"/>
        <w:ind w:right="480"/>
        <w:jc w:val="both"/>
        <w:rPr>
          <w:rFonts w:hint="eastAsia" w:ascii="宋体" w:hAnsi="宋体"/>
          <w:sz w:val="24"/>
        </w:rPr>
      </w:pPr>
    </w:p>
    <w:p w14:paraId="776AF3A0">
      <w:pPr>
        <w:tabs>
          <w:tab w:val="left" w:pos="1575"/>
        </w:tabs>
        <w:spacing w:line="360" w:lineRule="auto"/>
        <w:ind w:right="480"/>
        <w:jc w:val="left"/>
        <w:rPr>
          <w:rFonts w:hint="eastAsia" w:ascii="宋体" w:hAnsi="宋体"/>
          <w:sz w:val="24"/>
          <w:lang w:val="en-US" w:eastAsia="zh-CN"/>
        </w:rPr>
      </w:pPr>
      <w:r>
        <w:rPr>
          <w:rFonts w:hint="eastAsia" w:ascii="宋体" w:hAnsi="宋体"/>
          <w:sz w:val="24"/>
          <w:lang w:val="en-US" w:eastAsia="zh-CN"/>
        </w:rPr>
        <w:t>{proclaim1}</w:t>
      </w:r>
    </w:p>
    <w:p w14:paraId="77E08963">
      <w:pPr>
        <w:tabs>
          <w:tab w:val="left" w:pos="1575"/>
        </w:tabs>
        <w:spacing w:line="360" w:lineRule="auto"/>
        <w:ind w:right="480"/>
        <w:jc w:val="right"/>
        <w:rPr>
          <w:rFonts w:hint="eastAsia" w:ascii="宋体" w:hAnsi="宋体"/>
          <w:sz w:val="24"/>
          <w:lang w:val="en-US" w:eastAsia="zh-CN"/>
        </w:rPr>
      </w:pPr>
      <w:r>
        <w:rPr>
          <w:rFonts w:hint="eastAsia" w:ascii="宋体" w:hAnsi="宋体"/>
          <w:sz w:val="24"/>
          <w:lang w:val="en-US" w:eastAsia="zh-CN"/>
        </w:rPr>
        <w:t>{%%sign1}</w:t>
      </w:r>
    </w:p>
    <w:p w14:paraId="29EB8067">
      <w:pPr>
        <w:tabs>
          <w:tab w:val="left" w:pos="1575"/>
        </w:tabs>
        <w:spacing w:line="360" w:lineRule="auto"/>
        <w:ind w:right="480"/>
        <w:jc w:val="right"/>
        <w:rPr>
          <w:rFonts w:hint="eastAsia" w:ascii="宋体" w:hAnsi="宋体"/>
          <w:sz w:val="24"/>
        </w:rPr>
      </w:pPr>
      <w:r>
        <w:rPr>
          <w:rFonts w:hint="eastAsia" w:ascii="宋体" w:hAnsi="宋体"/>
          <w:sz w:val="24"/>
          <w:lang w:val="en-US" w:eastAsia="zh-CN"/>
        </w:rPr>
        <w:t>{updateTime1}</w:t>
      </w:r>
    </w:p>
    <w:p w14:paraId="07D167D3">
      <w:pPr>
        <w:rPr>
          <w:rFonts w:hint="eastAsia" w:ascii="黑体" w:eastAsia="黑体"/>
          <w:sz w:val="30"/>
          <w:szCs w:val="30"/>
        </w:rPr>
      </w:pPr>
      <w:bookmarkStart w:id="9" w:name="_Toc12328"/>
      <w:bookmarkStart w:id="10" w:name="_Toc536539640"/>
      <w:r>
        <w:rPr>
          <w:rFonts w:hint="eastAsia" w:ascii="黑体" w:eastAsia="黑体"/>
          <w:sz w:val="30"/>
          <w:szCs w:val="30"/>
        </w:rPr>
        <w:br w:type="page"/>
      </w:r>
    </w:p>
    <w:p w14:paraId="331CB766">
      <w:pPr>
        <w:pStyle w:val="2"/>
        <w:jc w:val="center"/>
        <w:rPr>
          <w:rFonts w:hint="eastAsia"/>
          <w:szCs w:val="21"/>
        </w:rPr>
      </w:pPr>
      <w:r>
        <w:rPr>
          <w:rFonts w:hint="eastAsia" w:ascii="黑体" w:eastAsia="黑体"/>
          <w:sz w:val="30"/>
          <w:szCs w:val="30"/>
        </w:rPr>
        <w:t>0.3质量方针颁布令</w:t>
      </w:r>
      <w:bookmarkEnd w:id="9"/>
      <w:bookmarkEnd w:id="10"/>
    </w:p>
    <w:bookmarkEnd w:id="6"/>
    <w:p w14:paraId="58519D55">
      <w:pPr>
        <w:tabs>
          <w:tab w:val="left" w:pos="1575"/>
        </w:tabs>
        <w:spacing w:line="360" w:lineRule="auto"/>
        <w:ind w:right="480"/>
        <w:jc w:val="left"/>
        <w:rPr>
          <w:rFonts w:hint="eastAsia" w:ascii="宋体" w:hAnsi="宋体"/>
          <w:sz w:val="24"/>
          <w:lang w:val="en-US" w:eastAsia="zh-CN"/>
        </w:rPr>
      </w:pPr>
      <w:bookmarkStart w:id="11" w:name="_Toc277321172"/>
    </w:p>
    <w:p w14:paraId="2DA33F11">
      <w:pPr>
        <w:tabs>
          <w:tab w:val="left" w:pos="1575"/>
        </w:tabs>
        <w:spacing w:line="360" w:lineRule="auto"/>
        <w:ind w:right="480"/>
        <w:jc w:val="left"/>
        <w:rPr>
          <w:rFonts w:hint="eastAsia" w:ascii="宋体" w:hAnsi="宋体"/>
          <w:sz w:val="24"/>
          <w:lang w:val="en-US" w:eastAsia="zh-CN"/>
        </w:rPr>
      </w:pPr>
      <w:r>
        <w:rPr>
          <w:rFonts w:hint="eastAsia" w:ascii="宋体" w:hAnsi="宋体"/>
          <w:sz w:val="24"/>
          <w:lang w:val="en-US" w:eastAsia="zh-CN"/>
        </w:rPr>
        <w:t>{proclaim2}</w:t>
      </w:r>
    </w:p>
    <w:p w14:paraId="5A83E545">
      <w:pPr>
        <w:tabs>
          <w:tab w:val="left" w:pos="1575"/>
        </w:tabs>
        <w:spacing w:line="360" w:lineRule="auto"/>
        <w:ind w:right="480"/>
        <w:jc w:val="right"/>
        <w:rPr>
          <w:rFonts w:hint="eastAsia" w:ascii="宋体" w:hAnsi="宋体"/>
          <w:sz w:val="24"/>
          <w:lang w:val="en-US" w:eastAsia="zh-CN"/>
        </w:rPr>
      </w:pPr>
      <w:r>
        <w:rPr>
          <w:rFonts w:hint="eastAsia" w:ascii="宋体" w:hAnsi="宋体"/>
          <w:sz w:val="24"/>
          <w:lang w:val="en-US" w:eastAsia="zh-CN"/>
        </w:rPr>
        <w:t>{%%sign2}</w:t>
      </w:r>
    </w:p>
    <w:p w14:paraId="6835F1BD">
      <w:pPr>
        <w:tabs>
          <w:tab w:val="left" w:pos="1575"/>
        </w:tabs>
        <w:spacing w:line="360" w:lineRule="auto"/>
        <w:ind w:right="480"/>
        <w:jc w:val="right"/>
        <w:rPr>
          <w:rFonts w:hint="eastAsia" w:ascii="宋体" w:hAnsi="宋体"/>
          <w:snapToGrid w:val="0"/>
          <w:kern w:val="0"/>
          <w:szCs w:val="21"/>
        </w:rPr>
      </w:pPr>
      <w:r>
        <w:rPr>
          <w:rFonts w:hint="eastAsia" w:ascii="宋体" w:hAnsi="宋体"/>
          <w:sz w:val="24"/>
          <w:lang w:val="en-US" w:eastAsia="zh-CN"/>
        </w:rPr>
        <w:t>{updateTime2}</w:t>
      </w:r>
    </w:p>
    <w:p w14:paraId="60D29384">
      <w:pPr>
        <w:rPr>
          <w:rFonts w:hint="eastAsia" w:ascii="黑体" w:eastAsia="黑体"/>
          <w:sz w:val="30"/>
          <w:szCs w:val="30"/>
        </w:rPr>
      </w:pPr>
      <w:bookmarkStart w:id="12" w:name="_Toc536539641"/>
      <w:bookmarkStart w:id="13" w:name="_Toc1637"/>
      <w:r>
        <w:rPr>
          <w:rFonts w:hint="eastAsia" w:ascii="黑体" w:eastAsia="黑体"/>
          <w:sz w:val="30"/>
          <w:szCs w:val="30"/>
        </w:rPr>
        <w:br w:type="page"/>
      </w:r>
    </w:p>
    <w:p w14:paraId="37048C2A">
      <w:pPr>
        <w:jc w:val="center"/>
        <w:rPr>
          <w:rFonts w:hint="eastAsia" w:ascii="黑体" w:eastAsia="黑体"/>
          <w:sz w:val="30"/>
          <w:szCs w:val="30"/>
        </w:rPr>
      </w:pPr>
      <w:r>
        <w:rPr>
          <w:rFonts w:hint="eastAsia" w:ascii="黑体" w:eastAsia="黑体"/>
          <w:b/>
          <w:bCs/>
          <w:sz w:val="30"/>
          <w:szCs w:val="30"/>
        </w:rPr>
        <w:t>0.4质量目标颁布令</w:t>
      </w:r>
      <w:bookmarkEnd w:id="12"/>
      <w:bookmarkEnd w:id="13"/>
    </w:p>
    <w:p w14:paraId="4B18C998">
      <w:pPr>
        <w:rPr>
          <w:rFonts w:hint="eastAsia"/>
        </w:rPr>
      </w:pPr>
    </w:p>
    <w:p w14:paraId="647FDBC1">
      <w:pPr>
        <w:tabs>
          <w:tab w:val="left" w:pos="1575"/>
        </w:tabs>
        <w:spacing w:line="360" w:lineRule="auto"/>
        <w:ind w:right="480"/>
        <w:jc w:val="left"/>
        <w:rPr>
          <w:rFonts w:hint="eastAsia" w:ascii="宋体" w:hAnsi="宋体"/>
          <w:sz w:val="24"/>
          <w:lang w:val="en-US" w:eastAsia="zh-CN"/>
        </w:rPr>
      </w:pPr>
      <w:r>
        <w:rPr>
          <w:rFonts w:hint="eastAsia" w:ascii="宋体" w:hAnsi="宋体"/>
          <w:sz w:val="24"/>
          <w:lang w:val="en-US" w:eastAsia="zh-CN"/>
        </w:rPr>
        <w:t>{proclaim3}</w:t>
      </w:r>
    </w:p>
    <w:p w14:paraId="6FB04536">
      <w:pPr>
        <w:tabs>
          <w:tab w:val="left" w:pos="1575"/>
        </w:tabs>
        <w:spacing w:line="360" w:lineRule="auto"/>
        <w:ind w:right="480"/>
        <w:jc w:val="right"/>
        <w:rPr>
          <w:rFonts w:hint="eastAsia" w:ascii="宋体" w:hAnsi="宋体"/>
          <w:sz w:val="24"/>
          <w:lang w:val="en-US" w:eastAsia="zh-CN"/>
        </w:rPr>
      </w:pPr>
      <w:r>
        <w:rPr>
          <w:rFonts w:hint="eastAsia" w:ascii="宋体" w:hAnsi="宋体"/>
          <w:sz w:val="24"/>
          <w:lang w:val="en-US" w:eastAsia="zh-CN"/>
        </w:rPr>
        <w:t>{%%sign3}</w:t>
      </w:r>
    </w:p>
    <w:p w14:paraId="2FFA352B">
      <w:pPr>
        <w:tabs>
          <w:tab w:val="left" w:pos="1575"/>
        </w:tabs>
        <w:spacing w:line="360" w:lineRule="auto"/>
        <w:ind w:right="480"/>
        <w:jc w:val="right"/>
        <w:rPr>
          <w:rFonts w:hint="eastAsia" w:ascii="宋体" w:hAnsi="宋体"/>
          <w:snapToGrid w:val="0"/>
          <w:kern w:val="0"/>
          <w:szCs w:val="21"/>
        </w:rPr>
      </w:pPr>
      <w:r>
        <w:rPr>
          <w:rFonts w:hint="eastAsia" w:ascii="宋体" w:hAnsi="宋体"/>
          <w:sz w:val="24"/>
          <w:lang w:val="en-US" w:eastAsia="zh-CN"/>
        </w:rPr>
        <w:t>{updateTime3}</w:t>
      </w:r>
    </w:p>
    <w:bookmarkEnd w:id="11"/>
    <w:p w14:paraId="420C3D5E">
      <w:pPr>
        <w:rPr>
          <w:rFonts w:hint="eastAsia" w:ascii="黑体" w:eastAsia="黑体"/>
          <w:sz w:val="30"/>
          <w:szCs w:val="30"/>
        </w:rPr>
      </w:pPr>
      <w:bookmarkStart w:id="14" w:name="_Toc536539642"/>
      <w:bookmarkStart w:id="15" w:name="_Toc16764"/>
      <w:r>
        <w:rPr>
          <w:rFonts w:hint="eastAsia" w:ascii="黑体" w:eastAsia="黑体"/>
          <w:sz w:val="30"/>
          <w:szCs w:val="30"/>
        </w:rPr>
        <w:br w:type="page"/>
      </w:r>
    </w:p>
    <w:p w14:paraId="107DF31D">
      <w:pPr>
        <w:jc w:val="center"/>
        <w:rPr>
          <w:b/>
          <w:bCs/>
        </w:rPr>
      </w:pPr>
      <w:r>
        <w:rPr>
          <w:rFonts w:hint="eastAsia" w:ascii="黑体" w:eastAsia="黑体"/>
          <w:b/>
          <w:bCs/>
          <w:sz w:val="30"/>
          <w:szCs w:val="30"/>
        </w:rPr>
        <w:t>0</w:t>
      </w:r>
      <w:r>
        <w:rPr>
          <w:rFonts w:ascii="黑体" w:eastAsia="黑体"/>
          <w:b/>
          <w:bCs/>
          <w:sz w:val="30"/>
          <w:szCs w:val="30"/>
        </w:rPr>
        <w:t>.</w:t>
      </w:r>
      <w:r>
        <w:rPr>
          <w:rFonts w:hint="eastAsia" w:ascii="黑体" w:eastAsia="黑体"/>
          <w:b/>
          <w:bCs/>
          <w:sz w:val="30"/>
          <w:szCs w:val="30"/>
        </w:rPr>
        <w:t>5管理者代表</w:t>
      </w:r>
      <w:r>
        <w:rPr>
          <w:rFonts w:ascii="黑体" w:eastAsia="黑体"/>
          <w:b/>
          <w:bCs/>
          <w:sz w:val="30"/>
          <w:szCs w:val="30"/>
        </w:rPr>
        <w:t>任命书</w:t>
      </w:r>
      <w:bookmarkEnd w:id="14"/>
      <w:bookmarkEnd w:id="15"/>
    </w:p>
    <w:p w14:paraId="2C7A2229">
      <w:pPr>
        <w:jc w:val="both"/>
      </w:pPr>
    </w:p>
    <w:p w14:paraId="4EDDBD44">
      <w:pPr>
        <w:tabs>
          <w:tab w:val="left" w:pos="1575"/>
        </w:tabs>
        <w:spacing w:line="360" w:lineRule="auto"/>
        <w:ind w:right="480"/>
        <w:jc w:val="left"/>
        <w:rPr>
          <w:rFonts w:hint="eastAsia" w:ascii="宋体" w:hAnsi="宋体"/>
          <w:sz w:val="24"/>
          <w:lang w:val="en-US" w:eastAsia="zh-CN"/>
        </w:rPr>
      </w:pPr>
      <w:r>
        <w:rPr>
          <w:rFonts w:hint="eastAsia" w:ascii="宋体" w:hAnsi="宋体"/>
          <w:sz w:val="24"/>
          <w:lang w:val="en-US" w:eastAsia="zh-CN"/>
        </w:rPr>
        <w:t>{proclaim4}</w:t>
      </w:r>
      <w:bookmarkStart w:id="220" w:name="_GoBack"/>
      <w:bookmarkEnd w:id="220"/>
    </w:p>
    <w:p w14:paraId="54AF0D37">
      <w:pPr>
        <w:tabs>
          <w:tab w:val="left" w:pos="1575"/>
        </w:tabs>
        <w:spacing w:line="360" w:lineRule="auto"/>
        <w:ind w:right="480"/>
        <w:jc w:val="right"/>
        <w:rPr>
          <w:rFonts w:hint="eastAsia" w:ascii="宋体" w:hAnsi="宋体"/>
          <w:sz w:val="24"/>
          <w:lang w:val="en-US" w:eastAsia="zh-CN"/>
        </w:rPr>
      </w:pPr>
      <w:r>
        <w:rPr>
          <w:rFonts w:hint="eastAsia" w:ascii="宋体" w:hAnsi="宋体"/>
          <w:sz w:val="24"/>
          <w:lang w:val="en-US" w:eastAsia="zh-CN"/>
        </w:rPr>
        <w:t>{%%sign4}</w:t>
      </w:r>
    </w:p>
    <w:p w14:paraId="477543FB">
      <w:pPr>
        <w:tabs>
          <w:tab w:val="left" w:pos="1575"/>
        </w:tabs>
        <w:spacing w:line="360" w:lineRule="auto"/>
        <w:ind w:right="480"/>
        <w:jc w:val="right"/>
      </w:pPr>
      <w:r>
        <w:rPr>
          <w:rFonts w:hint="eastAsia" w:ascii="宋体" w:hAnsi="宋体"/>
          <w:sz w:val="24"/>
          <w:lang w:val="en-US" w:eastAsia="zh-CN"/>
        </w:rPr>
        <w:t>{updateTime4}</w:t>
      </w:r>
    </w:p>
    <w:p w14:paraId="4ED11093">
      <w:pPr>
        <w:ind w:left="555"/>
        <w:jc w:val="center"/>
      </w:pPr>
    </w:p>
    <w:p w14:paraId="173062B2">
      <w:pPr>
        <w:ind w:left="555"/>
        <w:jc w:val="center"/>
      </w:pPr>
    </w:p>
    <w:p w14:paraId="4ED0C341">
      <w:pPr>
        <w:ind w:left="555"/>
        <w:jc w:val="center"/>
      </w:pPr>
    </w:p>
    <w:p w14:paraId="134D6483">
      <w:pPr>
        <w:ind w:left="555"/>
        <w:jc w:val="center"/>
      </w:pPr>
    </w:p>
    <w:p w14:paraId="2859D5CF">
      <w:pPr>
        <w:ind w:left="555"/>
        <w:jc w:val="center"/>
      </w:pPr>
    </w:p>
    <w:p w14:paraId="1CC2AA09">
      <w:pPr>
        <w:ind w:left="555"/>
        <w:jc w:val="center"/>
      </w:pPr>
    </w:p>
    <w:p w14:paraId="30DE8611">
      <w:pPr>
        <w:ind w:left="555"/>
        <w:jc w:val="center"/>
      </w:pPr>
    </w:p>
    <w:p w14:paraId="0FDE9EF8">
      <w:pPr>
        <w:ind w:left="555"/>
        <w:jc w:val="center"/>
      </w:pPr>
    </w:p>
    <w:p w14:paraId="6444C8EB">
      <w:pPr>
        <w:ind w:left="555"/>
        <w:jc w:val="center"/>
      </w:pPr>
    </w:p>
    <w:p w14:paraId="71F095CB">
      <w:pPr>
        <w:ind w:left="555"/>
        <w:jc w:val="center"/>
      </w:pPr>
    </w:p>
    <w:p w14:paraId="270DC2D7">
      <w:pPr>
        <w:ind w:left="555"/>
        <w:jc w:val="center"/>
      </w:pPr>
    </w:p>
    <w:p w14:paraId="740331CF">
      <w:pPr>
        <w:ind w:left="555"/>
        <w:jc w:val="center"/>
      </w:pPr>
    </w:p>
    <w:p w14:paraId="75FDC72F">
      <w:pPr>
        <w:ind w:left="555"/>
        <w:jc w:val="center"/>
      </w:pPr>
    </w:p>
    <w:p w14:paraId="632BE9AE">
      <w:pPr>
        <w:ind w:left="555"/>
        <w:jc w:val="center"/>
      </w:pPr>
    </w:p>
    <w:p w14:paraId="0DEB7EC5">
      <w:pPr>
        <w:ind w:left="555"/>
        <w:jc w:val="center"/>
      </w:pPr>
    </w:p>
    <w:p w14:paraId="21AAF576">
      <w:pPr>
        <w:spacing w:line="400" w:lineRule="exact"/>
      </w:pPr>
    </w:p>
    <w:p w14:paraId="280A6102">
      <w:pPr>
        <w:spacing w:line="400" w:lineRule="exact"/>
        <w:rPr>
          <w:rFonts w:hint="eastAsia"/>
        </w:rPr>
      </w:pPr>
    </w:p>
    <w:p w14:paraId="1BA497CF">
      <w:pPr>
        <w:spacing w:line="400" w:lineRule="exact"/>
        <w:rPr>
          <w:rFonts w:hint="eastAsia"/>
        </w:rPr>
      </w:pPr>
    </w:p>
    <w:p w14:paraId="7B40B03A">
      <w:pPr>
        <w:spacing w:line="400" w:lineRule="exact"/>
        <w:rPr>
          <w:rFonts w:hint="eastAsia"/>
        </w:rPr>
      </w:pPr>
    </w:p>
    <w:p w14:paraId="7A072A42">
      <w:pPr>
        <w:spacing w:line="400" w:lineRule="exact"/>
        <w:rPr>
          <w:rFonts w:hint="eastAsia"/>
        </w:rPr>
      </w:pPr>
    </w:p>
    <w:p w14:paraId="112E5FE8">
      <w:pPr>
        <w:spacing w:line="400" w:lineRule="exact"/>
        <w:rPr>
          <w:rFonts w:hint="eastAsia"/>
        </w:rPr>
      </w:pPr>
    </w:p>
    <w:p w14:paraId="2C3F585A">
      <w:pPr>
        <w:spacing w:line="400" w:lineRule="exact"/>
        <w:rPr>
          <w:rFonts w:hint="eastAsia"/>
        </w:rPr>
      </w:pPr>
    </w:p>
    <w:p w14:paraId="6F57DBA3">
      <w:pPr>
        <w:spacing w:line="400" w:lineRule="exact"/>
        <w:rPr>
          <w:rFonts w:hint="eastAsia"/>
        </w:rPr>
      </w:pPr>
    </w:p>
    <w:p w14:paraId="42F04D48">
      <w:pPr>
        <w:spacing w:line="400" w:lineRule="exact"/>
        <w:rPr>
          <w:rFonts w:hint="eastAsia"/>
        </w:rPr>
      </w:pPr>
      <w:r>
        <w:rPr>
          <w:rFonts w:hint="eastAsia"/>
        </w:rPr>
        <w:t xml:space="preserve"> </w:t>
      </w:r>
    </w:p>
    <w:p w14:paraId="528C21BB">
      <w:pPr>
        <w:spacing w:line="400" w:lineRule="exact"/>
        <w:rPr>
          <w:rFonts w:hint="eastAsia"/>
        </w:rPr>
      </w:pPr>
    </w:p>
    <w:p w14:paraId="332CE6DA">
      <w:pPr>
        <w:pStyle w:val="80"/>
        <w:jc w:val="center"/>
        <w:rPr>
          <w:rFonts w:hint="eastAsia"/>
          <w:lang w:eastAsia="zh-CN"/>
        </w:rPr>
      </w:pPr>
      <w:bookmarkStart w:id="16" w:name="_Toc536539643"/>
      <w:bookmarkStart w:id="17" w:name="_Toc22524"/>
    </w:p>
    <w:p w14:paraId="7A038B05">
      <w:pPr>
        <w:rPr>
          <w:rFonts w:hint="eastAsia"/>
          <w:lang w:eastAsia="zh-CN"/>
        </w:rPr>
      </w:pPr>
      <w:r>
        <w:rPr>
          <w:rFonts w:hint="eastAsia"/>
          <w:lang w:eastAsia="zh-CN"/>
        </w:rPr>
        <w:br w:type="page"/>
      </w:r>
    </w:p>
    <w:p w14:paraId="6A7D7F3F">
      <w:pPr>
        <w:pStyle w:val="80"/>
        <w:jc w:val="center"/>
        <w:rPr>
          <w:rFonts w:hint="eastAsia"/>
          <w:lang w:eastAsia="zh-CN"/>
        </w:rPr>
      </w:pPr>
      <w:r>
        <w:rPr>
          <w:rFonts w:hint="eastAsia"/>
          <w:lang w:eastAsia="zh-CN"/>
        </w:rPr>
        <w:t>质量管理体系要求</w:t>
      </w:r>
      <w:bookmarkEnd w:id="16"/>
      <w:bookmarkEnd w:id="17"/>
    </w:p>
    <w:p w14:paraId="1624A2AF">
      <w:pPr>
        <w:pStyle w:val="2"/>
        <w:jc w:val="both"/>
        <w:rPr>
          <w:rFonts w:ascii="黑体" w:eastAsia="黑体"/>
          <w:sz w:val="30"/>
          <w:szCs w:val="30"/>
        </w:rPr>
      </w:pPr>
      <w:bookmarkStart w:id="18" w:name="_Toc536539644"/>
      <w:bookmarkStart w:id="19" w:name="_Toc31137"/>
      <w:r>
        <w:rPr>
          <w:rFonts w:hint="eastAsia" w:ascii="黑体" w:eastAsia="黑体"/>
          <w:sz w:val="30"/>
          <w:szCs w:val="30"/>
        </w:rPr>
        <w:t>1 范 围</w:t>
      </w:r>
      <w:bookmarkEnd w:id="18"/>
      <w:bookmarkEnd w:id="19"/>
    </w:p>
    <w:p w14:paraId="35DDD899">
      <w:pPr>
        <w:pStyle w:val="3"/>
        <w:rPr>
          <w:rFonts w:hint="eastAsia"/>
          <w:kern w:val="0"/>
        </w:rPr>
      </w:pPr>
      <w:bookmarkStart w:id="20" w:name="_Toc536539645"/>
      <w:bookmarkStart w:id="21" w:name="_Toc28664"/>
      <w:bookmarkStart w:id="22" w:name="_Toc352425700"/>
      <w:r>
        <w:rPr>
          <w:rFonts w:hint="eastAsia"/>
        </w:rPr>
        <w:t>1.1总则</w:t>
      </w:r>
      <w:bookmarkEnd w:id="20"/>
      <w:bookmarkEnd w:id="21"/>
    </w:p>
    <w:p w14:paraId="1BC81CE4">
      <w:pPr>
        <w:spacing w:line="360" w:lineRule="auto"/>
        <w:ind w:firstLine="420" w:firstLineChars="200"/>
        <w:rPr>
          <w:rFonts w:hint="eastAsia"/>
          <w:szCs w:val="21"/>
        </w:rPr>
      </w:pPr>
      <w:r>
        <w:rPr>
          <w:rFonts w:hint="eastAsia"/>
          <w:szCs w:val="21"/>
        </w:rPr>
        <w:t>本手册为本公司质量管理体系纲领性文件，是依据</w:t>
      </w:r>
      <w:r>
        <w:rPr>
          <w:rFonts w:hint="eastAsia" w:ascii="宋体" w:hAnsi="宋体"/>
          <w:szCs w:val="21"/>
        </w:rPr>
        <w:t xml:space="preserve">GB/T19001-2016 idt ISO9001:2015 </w:t>
      </w:r>
      <w:r>
        <w:rPr>
          <w:rFonts w:hint="eastAsia"/>
          <w:szCs w:val="21"/>
        </w:rPr>
        <w:t>《质量管理体系 要求》、</w:t>
      </w:r>
      <w:r>
        <w:rPr>
          <w:rFonts w:hint="eastAsia" w:ascii="宋体" w:hAnsi="宋体"/>
          <w:szCs w:val="21"/>
        </w:rPr>
        <w:t>GJB19001C-2017《质量管理体系要求》，</w:t>
      </w:r>
      <w:r>
        <w:rPr>
          <w:rFonts w:hint="eastAsia"/>
          <w:szCs w:val="21"/>
        </w:rPr>
        <w:t>并结合本公司管理和生产活动实际情况编写而成。它规定了本公司的管理方针和目标，阐述了公司质量管理体系的各个过程，规定了与质量管理体系有关的各项管理职责、权限和相互关系，描述了公司质量管理体系的总体要求。</w:t>
      </w:r>
    </w:p>
    <w:p w14:paraId="512B19BD">
      <w:pPr>
        <w:spacing w:line="360" w:lineRule="auto"/>
        <w:ind w:firstLine="420" w:firstLineChars="200"/>
        <w:rPr>
          <w:szCs w:val="21"/>
        </w:rPr>
      </w:pPr>
      <w:r>
        <w:rPr>
          <w:rFonts w:hint="eastAsia"/>
          <w:szCs w:val="21"/>
        </w:rPr>
        <w:t>本公司建立质量管理体系，旨在：</w:t>
      </w:r>
    </w:p>
    <w:p w14:paraId="4BDF6C26">
      <w:pPr>
        <w:spacing w:line="360" w:lineRule="auto"/>
        <w:ind w:firstLine="420" w:firstLineChars="200"/>
        <w:rPr>
          <w:szCs w:val="21"/>
        </w:rPr>
      </w:pPr>
      <w:r>
        <w:rPr>
          <w:rFonts w:hint="eastAsia"/>
          <w:szCs w:val="21"/>
        </w:rPr>
        <w:t>a）</w:t>
      </w:r>
      <w:r>
        <w:rPr>
          <w:rFonts w:hint="eastAsia"/>
        </w:rPr>
        <w:t>证实公司具有稳定提供满足顾客要求及适用法律法规要求的产品和服务的能力</w:t>
      </w:r>
    </w:p>
    <w:p w14:paraId="1D1E0EAB">
      <w:pPr>
        <w:spacing w:line="360" w:lineRule="auto"/>
        <w:ind w:firstLine="420" w:firstLineChars="200"/>
        <w:rPr>
          <w:szCs w:val="21"/>
        </w:rPr>
      </w:pPr>
      <w:r>
        <w:rPr>
          <w:rFonts w:hint="eastAsia"/>
          <w:szCs w:val="21"/>
        </w:rPr>
        <w:t>b）</w:t>
      </w:r>
      <w:r>
        <w:rPr>
          <w:rFonts w:hint="eastAsia"/>
        </w:rPr>
        <w:t>通过体系的有效应用，包括体系改进的过程，以及保证符合顾客要求和适用的法律法规要求，旨在增强顾客满意</w:t>
      </w:r>
      <w:r>
        <w:rPr>
          <w:rFonts w:hint="eastAsia"/>
          <w:szCs w:val="21"/>
        </w:rPr>
        <w:t>。</w:t>
      </w:r>
    </w:p>
    <w:p w14:paraId="40B9DBF7">
      <w:pPr>
        <w:pStyle w:val="3"/>
        <w:rPr>
          <w:rFonts w:hint="eastAsia"/>
        </w:rPr>
      </w:pPr>
      <w:bookmarkStart w:id="23" w:name="_Toc536539646"/>
      <w:bookmarkStart w:id="24" w:name="_Toc6925"/>
      <w:r>
        <w:rPr>
          <w:rFonts w:hint="eastAsia"/>
        </w:rPr>
        <w:t>1.2应用</w:t>
      </w:r>
      <w:bookmarkEnd w:id="23"/>
      <w:bookmarkEnd w:id="24"/>
    </w:p>
    <w:p w14:paraId="0BC5C5B0">
      <w:pPr>
        <w:spacing w:line="360" w:lineRule="auto"/>
      </w:pPr>
      <w:r>
        <w:rPr>
          <w:rFonts w:hint="eastAsia"/>
        </w:rPr>
        <w:t>1.2.1本《质量手册》适用于公司质量管理体系及产品的科研、生产、服务全过程。</w:t>
      </w:r>
    </w:p>
    <w:p w14:paraId="7D378A54">
      <w:pPr>
        <w:spacing w:line="360" w:lineRule="auto"/>
      </w:pPr>
      <w:r>
        <w:rPr>
          <w:rFonts w:hint="eastAsia"/>
        </w:rPr>
        <w:t>1.2.2公司质量管理体系覆盖范围包括了GJB 9001C-2017和GB/T 19001-2016/</w:t>
      </w:r>
      <w:r>
        <w:t>ISO9001</w:t>
      </w:r>
      <w:r>
        <w:rPr>
          <w:rFonts w:hint="eastAsia" w:ascii="宋体" w:hAnsi="宋体"/>
          <w:sz w:val="28"/>
        </w:rPr>
        <w:t>:</w:t>
      </w:r>
      <w:r>
        <w:t>20</w:t>
      </w:r>
      <w:r>
        <w:rPr>
          <w:rFonts w:hint="eastAsia"/>
        </w:rPr>
        <w:t>15规定的所有要求，没有删减。</w:t>
      </w:r>
    </w:p>
    <w:p w14:paraId="136F3EC3">
      <w:pPr>
        <w:spacing w:line="360" w:lineRule="auto"/>
      </w:pPr>
      <w:r>
        <w:rPr>
          <w:rFonts w:hint="eastAsia"/>
        </w:rPr>
        <w:t>1.2.3为便于识别，本手册中对军品和民品通用的要求采用宋体字表述，对只适用于军品的特殊要求采用楷体字表述。</w:t>
      </w:r>
    </w:p>
    <w:p w14:paraId="0CE0E1E8">
      <w:pPr>
        <w:spacing w:line="360" w:lineRule="auto"/>
        <w:rPr>
          <w:rFonts w:hint="eastAsia"/>
          <w:szCs w:val="21"/>
        </w:rPr>
      </w:pPr>
      <w:r>
        <w:rPr>
          <w:rFonts w:hint="eastAsia"/>
        </w:rPr>
        <w:t>1.2.4</w:t>
      </w:r>
      <w:r>
        <w:rPr>
          <w:rFonts w:hint="eastAsia"/>
          <w:szCs w:val="21"/>
        </w:rPr>
        <w:t>当本公司产品范围、管理的场所范围和活动范围发生变更或有特殊要求或过程方式发生变更时，将及时进行策划工作，以书面形式对控制要求做出单独规定，以作为手册的补充。</w:t>
      </w:r>
    </w:p>
    <w:bookmarkEnd w:id="22"/>
    <w:p w14:paraId="03D91907">
      <w:pPr>
        <w:tabs>
          <w:tab w:val="left" w:pos="425"/>
        </w:tabs>
        <w:spacing w:line="360" w:lineRule="auto"/>
        <w:rPr>
          <w:rFonts w:hint="eastAsia" w:ascii="黑体" w:hAnsi="Arial" w:eastAsia="黑体" w:cs="Arial"/>
          <w:sz w:val="24"/>
          <w:szCs w:val="24"/>
        </w:rPr>
      </w:pPr>
      <w:r>
        <w:rPr>
          <w:rFonts w:hint="eastAsia" w:ascii="黑体" w:hAnsi="Arial" w:eastAsia="黑体" w:cs="Arial"/>
          <w:sz w:val="24"/>
          <w:szCs w:val="24"/>
        </w:rPr>
        <w:t>1.2.5 手册的管理</w:t>
      </w:r>
    </w:p>
    <w:p w14:paraId="73F0CEBE">
      <w:pPr>
        <w:pStyle w:val="150"/>
        <w:spacing w:line="360" w:lineRule="auto"/>
        <w:rPr>
          <w:rFonts w:hint="eastAsia" w:ascii="Times New Roman" w:cs="Times New Roman"/>
          <w:color w:val="auto"/>
          <w:kern w:val="2"/>
          <w:sz w:val="21"/>
          <w:szCs w:val="21"/>
        </w:rPr>
      </w:pPr>
      <w:r>
        <w:rPr>
          <w:rFonts w:hint="eastAsia" w:ascii="Times New Roman" w:cs="Times New Roman"/>
          <w:color w:val="auto"/>
          <w:kern w:val="2"/>
          <w:sz w:val="21"/>
          <w:szCs w:val="21"/>
        </w:rPr>
        <w:t>1.2.5.1质量手册的编制和审批</w:t>
      </w:r>
    </w:p>
    <w:p w14:paraId="5E51706D">
      <w:pPr>
        <w:pStyle w:val="150"/>
        <w:spacing w:line="360" w:lineRule="auto"/>
        <w:ind w:firstLine="420" w:firstLineChars="200"/>
        <w:rPr>
          <w:rFonts w:hint="eastAsia" w:ascii="Times New Roman" w:cs="Times New Roman"/>
          <w:color w:val="auto"/>
          <w:kern w:val="2"/>
          <w:sz w:val="21"/>
          <w:szCs w:val="21"/>
        </w:rPr>
      </w:pPr>
      <w:r>
        <w:rPr>
          <w:rFonts w:hint="eastAsia" w:ascii="Times New Roman" w:cs="Times New Roman"/>
          <w:color w:val="auto"/>
          <w:kern w:val="2"/>
          <w:sz w:val="21"/>
          <w:szCs w:val="21"/>
        </w:rPr>
        <w:t>质量手册由品质部在管理者代表主持下负责编写。</w:t>
      </w:r>
    </w:p>
    <w:p w14:paraId="27E82CE9">
      <w:pPr>
        <w:pStyle w:val="150"/>
        <w:spacing w:line="360" w:lineRule="auto"/>
        <w:ind w:firstLine="420" w:firstLineChars="200"/>
        <w:rPr>
          <w:rFonts w:hint="eastAsia" w:ascii="Times New Roman" w:cs="Times New Roman"/>
          <w:color w:val="auto"/>
          <w:kern w:val="2"/>
          <w:sz w:val="21"/>
          <w:szCs w:val="21"/>
        </w:rPr>
      </w:pPr>
      <w:r>
        <w:rPr>
          <w:rFonts w:hint="eastAsia" w:ascii="Times New Roman" w:cs="Times New Roman"/>
          <w:color w:val="auto"/>
          <w:kern w:val="2"/>
          <w:sz w:val="21"/>
          <w:szCs w:val="21"/>
        </w:rPr>
        <w:t>管理者代表负责对质量手册的审核，经总经理批准后发布。</w:t>
      </w:r>
    </w:p>
    <w:p w14:paraId="04390ECE">
      <w:pPr>
        <w:pStyle w:val="150"/>
        <w:spacing w:line="360" w:lineRule="auto"/>
        <w:rPr>
          <w:rFonts w:hint="eastAsia" w:ascii="Times New Roman" w:cs="Times New Roman"/>
          <w:color w:val="auto"/>
          <w:kern w:val="2"/>
          <w:sz w:val="21"/>
          <w:szCs w:val="21"/>
        </w:rPr>
      </w:pPr>
      <w:r>
        <w:rPr>
          <w:rFonts w:hint="eastAsia" w:ascii="Times New Roman" w:cs="Times New Roman"/>
          <w:color w:val="auto"/>
          <w:kern w:val="2"/>
          <w:sz w:val="21"/>
          <w:szCs w:val="21"/>
        </w:rPr>
        <w:t>1.2.5.2 质量手册的发放与保管</w:t>
      </w:r>
    </w:p>
    <w:p w14:paraId="3E011154">
      <w:pPr>
        <w:pStyle w:val="150"/>
        <w:spacing w:line="360" w:lineRule="auto"/>
        <w:ind w:firstLine="420" w:firstLineChars="200"/>
        <w:rPr>
          <w:rFonts w:hint="eastAsia" w:ascii="Times New Roman" w:cs="Times New Roman"/>
          <w:color w:val="auto"/>
          <w:kern w:val="2"/>
          <w:sz w:val="21"/>
          <w:szCs w:val="21"/>
        </w:rPr>
      </w:pPr>
      <w:r>
        <w:rPr>
          <w:rFonts w:hint="eastAsia" w:ascii="Times New Roman" w:cs="Times New Roman"/>
          <w:color w:val="auto"/>
          <w:kern w:val="2"/>
          <w:sz w:val="21"/>
          <w:szCs w:val="21"/>
        </w:rPr>
        <w:t>质量手册具体由品质部负责发放、回收和管理。分发给公司内部的质量手册必须标识编号。</w:t>
      </w:r>
    </w:p>
    <w:p w14:paraId="6FA3C295">
      <w:pPr>
        <w:pStyle w:val="150"/>
        <w:spacing w:line="360" w:lineRule="auto"/>
        <w:ind w:firstLine="420" w:firstLineChars="200"/>
        <w:rPr>
          <w:rFonts w:hint="eastAsia" w:ascii="Times New Roman" w:cs="Times New Roman"/>
          <w:color w:val="auto"/>
          <w:kern w:val="2"/>
          <w:sz w:val="21"/>
          <w:szCs w:val="21"/>
        </w:rPr>
      </w:pPr>
      <w:r>
        <w:rPr>
          <w:rFonts w:hint="eastAsia" w:ascii="Times New Roman" w:cs="Times New Roman"/>
          <w:color w:val="auto"/>
          <w:kern w:val="2"/>
          <w:sz w:val="21"/>
          <w:szCs w:val="21"/>
        </w:rPr>
        <w:t>质量手册分发对象由品质部提出，经管理者代表批准后实施。</w:t>
      </w:r>
    </w:p>
    <w:p w14:paraId="7B683559">
      <w:pPr>
        <w:pStyle w:val="150"/>
        <w:spacing w:line="360" w:lineRule="auto"/>
        <w:rPr>
          <w:rFonts w:hint="eastAsia" w:ascii="Times New Roman" w:cs="Times New Roman"/>
          <w:color w:val="auto"/>
          <w:kern w:val="2"/>
          <w:sz w:val="21"/>
          <w:szCs w:val="21"/>
        </w:rPr>
      </w:pPr>
      <w:r>
        <w:rPr>
          <w:rFonts w:hint="eastAsia" w:ascii="Times New Roman" w:cs="Times New Roman"/>
          <w:color w:val="auto"/>
          <w:kern w:val="2"/>
          <w:sz w:val="21"/>
          <w:szCs w:val="21"/>
        </w:rPr>
        <w:t>1.2.5.3质量手册的标识</w:t>
      </w:r>
    </w:p>
    <w:p w14:paraId="5A005714">
      <w:pPr>
        <w:pStyle w:val="150"/>
        <w:spacing w:line="360" w:lineRule="auto"/>
        <w:ind w:firstLine="630" w:firstLineChars="300"/>
        <w:rPr>
          <w:rFonts w:hint="eastAsia" w:ascii="Times New Roman" w:cs="Times New Roman"/>
          <w:color w:val="auto"/>
          <w:kern w:val="2"/>
          <w:sz w:val="21"/>
          <w:szCs w:val="21"/>
        </w:rPr>
      </w:pPr>
      <w:r>
        <w:rPr>
          <w:rFonts w:hint="eastAsia" w:ascii="Times New Roman" w:cs="Times New Roman"/>
          <w:color w:val="auto"/>
          <w:kern w:val="2"/>
          <w:sz w:val="21"/>
          <w:szCs w:val="21"/>
        </w:rPr>
        <w:t>a、 版本状态</w:t>
      </w:r>
    </w:p>
    <w:p w14:paraId="6EFA7269">
      <w:pPr>
        <w:pStyle w:val="150"/>
        <w:spacing w:line="360" w:lineRule="auto"/>
        <w:ind w:firstLine="420" w:firstLineChars="200"/>
        <w:rPr>
          <w:rFonts w:hint="eastAsia" w:ascii="Times New Roman" w:cs="Times New Roman"/>
          <w:color w:val="auto"/>
          <w:kern w:val="2"/>
          <w:sz w:val="21"/>
          <w:szCs w:val="21"/>
        </w:rPr>
      </w:pPr>
      <w:r>
        <w:rPr>
          <w:rFonts w:hint="eastAsia" w:ascii="Times New Roman" w:cs="Times New Roman"/>
          <w:color w:val="auto"/>
          <w:kern w:val="2"/>
          <w:sz w:val="21"/>
          <w:szCs w:val="21"/>
        </w:rPr>
        <w:t xml:space="preserve">      首次发布的版本为“</w:t>
      </w:r>
      <w:r>
        <w:rPr>
          <w:rFonts w:hint="eastAsia" w:ascii="Times New Roman" w:cs="Times New Roman"/>
          <w:color w:val="FF0000"/>
          <w:kern w:val="2"/>
          <w:sz w:val="21"/>
          <w:szCs w:val="21"/>
        </w:rPr>
        <w:t>A/0</w:t>
      </w:r>
      <w:r>
        <w:rPr>
          <w:rFonts w:hint="eastAsia" w:ascii="Times New Roman" w:cs="Times New Roman"/>
          <w:color w:val="auto"/>
          <w:kern w:val="2"/>
          <w:sz w:val="21"/>
          <w:szCs w:val="21"/>
        </w:rPr>
        <w:t>” ，当手册内容有部分更改时，修订号依次为1，2，3……；当内容发生重大变化时应进行换版，版本号依次为：B，C，D，……。</w:t>
      </w:r>
    </w:p>
    <w:p w14:paraId="705A1305">
      <w:pPr>
        <w:pStyle w:val="150"/>
        <w:spacing w:line="360" w:lineRule="auto"/>
        <w:ind w:firstLine="630" w:firstLineChars="300"/>
        <w:rPr>
          <w:rFonts w:hint="eastAsia" w:ascii="Times New Roman" w:cs="Times New Roman"/>
          <w:color w:val="auto"/>
          <w:kern w:val="2"/>
          <w:sz w:val="21"/>
          <w:szCs w:val="21"/>
        </w:rPr>
      </w:pPr>
      <w:r>
        <w:rPr>
          <w:rFonts w:hint="eastAsia" w:ascii="Times New Roman" w:cs="Times New Roman"/>
          <w:color w:val="auto"/>
          <w:kern w:val="2"/>
          <w:sz w:val="21"/>
          <w:szCs w:val="21"/>
        </w:rPr>
        <w:t>b、 受控版本：</w:t>
      </w:r>
    </w:p>
    <w:p w14:paraId="33AB887E">
      <w:pPr>
        <w:pStyle w:val="150"/>
        <w:spacing w:line="360" w:lineRule="auto"/>
        <w:ind w:firstLine="420" w:firstLineChars="200"/>
        <w:rPr>
          <w:rFonts w:hint="eastAsia" w:ascii="Times New Roman" w:cs="Times New Roman"/>
          <w:color w:val="auto"/>
          <w:kern w:val="2"/>
          <w:sz w:val="21"/>
          <w:szCs w:val="21"/>
        </w:rPr>
      </w:pPr>
      <w:r>
        <w:rPr>
          <w:rFonts w:hint="eastAsia" w:ascii="Times New Roman" w:cs="Times New Roman"/>
          <w:color w:val="auto"/>
          <w:kern w:val="2"/>
          <w:sz w:val="21"/>
          <w:szCs w:val="21"/>
        </w:rPr>
        <w:t xml:space="preserve">      质量手册用“受控”、“非受控”方式标识。公司内部使用“受控”版本，</w:t>
      </w:r>
      <w:r>
        <w:rPr>
          <w:rFonts w:hint="eastAsia" w:ascii="Times New Roman" w:cs="Times New Roman"/>
          <w:color w:val="FF0000"/>
          <w:kern w:val="2"/>
          <w:sz w:val="21"/>
          <w:szCs w:val="21"/>
        </w:rPr>
        <w:t>向军代表室提供的为“受控”版本，</w:t>
      </w:r>
      <w:r>
        <w:rPr>
          <w:rFonts w:hint="eastAsia" w:ascii="Times New Roman" w:cs="Times New Roman"/>
          <w:color w:val="auto"/>
          <w:kern w:val="2"/>
          <w:sz w:val="21"/>
          <w:szCs w:val="21"/>
        </w:rPr>
        <w:t>向其余外部组织与顾客提供的为“非受控”版本。</w:t>
      </w:r>
    </w:p>
    <w:p w14:paraId="5CA4C195">
      <w:pPr>
        <w:pStyle w:val="150"/>
        <w:spacing w:line="360" w:lineRule="auto"/>
        <w:rPr>
          <w:rFonts w:hint="eastAsia" w:ascii="Times New Roman" w:cs="Times New Roman"/>
          <w:color w:val="auto"/>
          <w:kern w:val="2"/>
          <w:sz w:val="21"/>
          <w:szCs w:val="21"/>
        </w:rPr>
      </w:pPr>
      <w:r>
        <w:rPr>
          <w:rFonts w:hint="eastAsia" w:ascii="Times New Roman" w:cs="Times New Roman"/>
          <w:color w:val="auto"/>
          <w:kern w:val="2"/>
          <w:sz w:val="21"/>
          <w:szCs w:val="21"/>
        </w:rPr>
        <w:t>1.2.5.4质量手册的换版。</w:t>
      </w:r>
    </w:p>
    <w:p w14:paraId="316D89AB">
      <w:pPr>
        <w:pStyle w:val="150"/>
        <w:spacing w:line="360" w:lineRule="auto"/>
        <w:ind w:firstLine="630" w:firstLineChars="300"/>
        <w:rPr>
          <w:rFonts w:hint="eastAsia" w:ascii="Times New Roman" w:cs="Times New Roman"/>
          <w:color w:val="FF0000"/>
          <w:kern w:val="2"/>
          <w:sz w:val="21"/>
          <w:szCs w:val="21"/>
        </w:rPr>
      </w:pPr>
      <w:r>
        <w:rPr>
          <w:rFonts w:hint="eastAsia" w:ascii="Times New Roman" w:cs="Times New Roman"/>
          <w:color w:val="FF0000"/>
          <w:kern w:val="2"/>
          <w:sz w:val="21"/>
          <w:szCs w:val="21"/>
        </w:rPr>
        <w:t>a、换版由管理者代表审核，总经理批准。</w:t>
      </w:r>
    </w:p>
    <w:p w14:paraId="266C9DEC">
      <w:pPr>
        <w:pStyle w:val="150"/>
        <w:spacing w:line="360" w:lineRule="auto"/>
        <w:ind w:firstLine="630" w:firstLineChars="300"/>
        <w:rPr>
          <w:rFonts w:hint="eastAsia" w:ascii="Times New Roman" w:cs="Times New Roman"/>
          <w:color w:val="auto"/>
          <w:kern w:val="2"/>
          <w:sz w:val="21"/>
          <w:szCs w:val="21"/>
        </w:rPr>
      </w:pPr>
      <w:r>
        <w:rPr>
          <w:rFonts w:hint="eastAsia" w:ascii="Times New Roman" w:cs="Times New Roman"/>
          <w:color w:val="auto"/>
          <w:kern w:val="2"/>
          <w:sz w:val="21"/>
          <w:szCs w:val="21"/>
        </w:rPr>
        <w:t>b、当公司经营状况发生重大变化、管理体制或产品结构发生较大的改变、遵循的法律法规有重大变动时，经公司管理评审会议审议决定换版，并经总经理批准。</w:t>
      </w:r>
    </w:p>
    <w:p w14:paraId="57A66B1A">
      <w:pPr>
        <w:pStyle w:val="150"/>
        <w:spacing w:line="360" w:lineRule="auto"/>
        <w:ind w:firstLine="630" w:firstLineChars="300"/>
        <w:rPr>
          <w:rFonts w:hint="eastAsia" w:ascii="Times New Roman" w:cs="Times New Roman"/>
          <w:color w:val="auto"/>
          <w:kern w:val="2"/>
          <w:sz w:val="21"/>
          <w:szCs w:val="21"/>
        </w:rPr>
      </w:pPr>
      <w:r>
        <w:rPr>
          <w:rFonts w:hint="eastAsia" w:ascii="Times New Roman" w:cs="Times New Roman"/>
          <w:color w:val="auto"/>
          <w:kern w:val="2"/>
          <w:sz w:val="21"/>
          <w:szCs w:val="21"/>
        </w:rPr>
        <w:t>c、 质量手册更改，以书面形式通知“受控”手册持有者，“非受控”持有者不通知。更改情况应登记在文件更改一览表中。</w:t>
      </w:r>
    </w:p>
    <w:p w14:paraId="67E6E33F">
      <w:pPr>
        <w:pStyle w:val="150"/>
        <w:spacing w:line="360" w:lineRule="auto"/>
        <w:rPr>
          <w:rFonts w:hint="eastAsia" w:ascii="Times New Roman" w:cs="Times New Roman"/>
          <w:color w:val="auto"/>
          <w:kern w:val="2"/>
          <w:sz w:val="21"/>
          <w:szCs w:val="21"/>
        </w:rPr>
      </w:pPr>
      <w:r>
        <w:rPr>
          <w:rFonts w:hint="eastAsia" w:ascii="Times New Roman" w:cs="Times New Roman"/>
          <w:color w:val="auto"/>
          <w:kern w:val="2"/>
          <w:sz w:val="21"/>
          <w:szCs w:val="21"/>
        </w:rPr>
        <w:t>1.2.5.5质量手册的管理</w:t>
      </w:r>
    </w:p>
    <w:p w14:paraId="2080AD50">
      <w:pPr>
        <w:pStyle w:val="150"/>
        <w:spacing w:line="360" w:lineRule="auto"/>
        <w:ind w:firstLine="630" w:firstLineChars="300"/>
        <w:rPr>
          <w:rFonts w:hint="eastAsia" w:ascii="Times New Roman" w:cs="Times New Roman"/>
          <w:color w:val="auto"/>
          <w:kern w:val="2"/>
          <w:sz w:val="21"/>
          <w:szCs w:val="21"/>
        </w:rPr>
      </w:pPr>
      <w:r>
        <w:rPr>
          <w:rFonts w:hint="eastAsia" w:ascii="Times New Roman" w:cs="Times New Roman"/>
          <w:color w:val="auto"/>
          <w:kern w:val="2"/>
          <w:sz w:val="21"/>
          <w:szCs w:val="21"/>
        </w:rPr>
        <w:t>a、手册的持有者必须妥善保管，不得复制、涂改、外传，如有丢失应及时报告。调离本公司或转岗时应将质量手册交回。</w:t>
      </w:r>
    </w:p>
    <w:p w14:paraId="527FE8DF">
      <w:pPr>
        <w:pStyle w:val="150"/>
        <w:spacing w:line="360" w:lineRule="auto"/>
        <w:ind w:firstLine="630" w:firstLineChars="300"/>
        <w:rPr>
          <w:rFonts w:hint="eastAsia" w:ascii="Times New Roman" w:cs="Times New Roman"/>
          <w:color w:val="auto"/>
          <w:kern w:val="2"/>
          <w:sz w:val="21"/>
          <w:szCs w:val="21"/>
        </w:rPr>
      </w:pPr>
      <w:r>
        <w:rPr>
          <w:rFonts w:hint="eastAsia" w:ascii="Times New Roman" w:cs="Times New Roman"/>
          <w:color w:val="auto"/>
          <w:kern w:val="2"/>
          <w:sz w:val="21"/>
          <w:szCs w:val="21"/>
        </w:rPr>
        <w:t>b、如要向外单位、顾客提供质量手册，应经管理者代表批准。不得擅自外借或赠送。</w:t>
      </w:r>
    </w:p>
    <w:p w14:paraId="0710B273">
      <w:pPr>
        <w:spacing w:line="360" w:lineRule="auto"/>
        <w:rPr>
          <w:rFonts w:hint="eastAsia" w:ascii="Arial" w:hAnsi="宋体" w:cs="Arial"/>
          <w:kern w:val="0"/>
          <w:szCs w:val="21"/>
        </w:rPr>
      </w:pPr>
    </w:p>
    <w:p w14:paraId="2422A693">
      <w:pPr>
        <w:pStyle w:val="2"/>
        <w:jc w:val="left"/>
        <w:rPr>
          <w:rFonts w:hint="eastAsia"/>
        </w:rPr>
      </w:pPr>
      <w:bookmarkStart w:id="25" w:name="_Toc20401"/>
      <w:bookmarkStart w:id="26" w:name="_Toc536539647"/>
      <w:r>
        <w:rPr>
          <w:rFonts w:hint="eastAsia"/>
        </w:rPr>
        <w:t>2 规范性引用文件</w:t>
      </w:r>
      <w:bookmarkEnd w:id="25"/>
      <w:bookmarkEnd w:id="26"/>
      <w:bookmarkStart w:id="27" w:name="_Toc277321206"/>
      <w:bookmarkStart w:id="28" w:name="_Toc277275862"/>
      <w:bookmarkStart w:id="29" w:name="_Toc277207416"/>
    </w:p>
    <w:p w14:paraId="020CA4BB">
      <w:pPr>
        <w:pStyle w:val="150"/>
        <w:spacing w:line="360" w:lineRule="auto"/>
        <w:ind w:firstLine="420" w:firstLineChars="200"/>
        <w:rPr>
          <w:color w:val="auto"/>
          <w:sz w:val="21"/>
          <w:szCs w:val="21"/>
        </w:rPr>
      </w:pPr>
      <w:r>
        <w:rPr>
          <w:rFonts w:hint="eastAsia"/>
          <w:color w:val="auto"/>
          <w:sz w:val="21"/>
          <w:szCs w:val="21"/>
        </w:rPr>
        <w:t>下列文件对于本文件的应用是必不可少的。凡是注日期的引用文件，仅注日期的版本适用于本文件。凡是不注日期的引用文件，其最新版本(包括所有的修改单)适用于本文件。</w:t>
      </w:r>
    </w:p>
    <w:p w14:paraId="6F5C7EC5">
      <w:pPr>
        <w:pStyle w:val="150"/>
        <w:spacing w:line="360" w:lineRule="auto"/>
        <w:ind w:firstLine="420" w:firstLineChars="200"/>
        <w:rPr>
          <w:rFonts w:ascii="楷体_GB2312" w:eastAsia="楷体"/>
          <w:color w:val="FF0000"/>
          <w:sz w:val="21"/>
          <w:szCs w:val="21"/>
        </w:rPr>
      </w:pPr>
      <w:r>
        <w:rPr>
          <w:rFonts w:ascii="楷体_GB2312" w:eastAsia="楷体"/>
          <w:color w:val="FF0000"/>
          <w:sz w:val="21"/>
          <w:szCs w:val="21"/>
        </w:rPr>
        <w:t>GB/T 19000</w:t>
      </w:r>
      <w:r>
        <w:rPr>
          <w:rFonts w:hint="eastAsia" w:ascii="楷体_GB2312" w:eastAsia="楷体"/>
          <w:color w:val="FF0000"/>
          <w:sz w:val="21"/>
          <w:szCs w:val="21"/>
        </w:rPr>
        <w:t>—</w:t>
      </w:r>
      <w:r>
        <w:rPr>
          <w:rFonts w:ascii="楷体_GB2312" w:eastAsia="楷体"/>
          <w:color w:val="FF0000"/>
          <w:sz w:val="21"/>
          <w:szCs w:val="21"/>
        </w:rPr>
        <w:t>201</w:t>
      </w:r>
      <w:r>
        <w:rPr>
          <w:rFonts w:hint="eastAsia" w:ascii="楷体_GB2312" w:eastAsia="楷体"/>
          <w:color w:val="FF0000"/>
          <w:sz w:val="21"/>
          <w:szCs w:val="21"/>
        </w:rPr>
        <w:t>6质量管理体系基础和术语</w:t>
      </w:r>
    </w:p>
    <w:p w14:paraId="124F6917">
      <w:pPr>
        <w:pStyle w:val="150"/>
        <w:spacing w:line="360" w:lineRule="auto"/>
        <w:ind w:firstLine="420" w:firstLineChars="200"/>
        <w:rPr>
          <w:rFonts w:ascii="楷体_GB2312" w:eastAsia="楷体"/>
          <w:color w:val="FF0000"/>
          <w:sz w:val="21"/>
          <w:szCs w:val="21"/>
        </w:rPr>
      </w:pPr>
      <w:r>
        <w:rPr>
          <w:rFonts w:ascii="楷体_GB2312" w:eastAsia="楷体"/>
          <w:color w:val="FF0000"/>
          <w:sz w:val="21"/>
          <w:szCs w:val="21"/>
        </w:rPr>
        <w:t>GJB</w:t>
      </w:r>
      <w:r>
        <w:rPr>
          <w:rFonts w:hint="eastAsia" w:ascii="楷体_GB2312" w:eastAsia="楷体"/>
          <w:color w:val="FF0000"/>
          <w:sz w:val="21"/>
          <w:szCs w:val="21"/>
        </w:rPr>
        <w:t xml:space="preserve"> </w:t>
      </w:r>
      <w:r>
        <w:rPr>
          <w:rFonts w:ascii="楷体_GB2312" w:eastAsia="楷体"/>
          <w:color w:val="FF0000"/>
          <w:sz w:val="21"/>
          <w:szCs w:val="21"/>
        </w:rPr>
        <w:t>190</w:t>
      </w:r>
      <w:r>
        <w:rPr>
          <w:rFonts w:hint="eastAsia" w:ascii="楷体_GB2312" w:eastAsia="楷体"/>
          <w:color w:val="FF0000"/>
          <w:sz w:val="21"/>
          <w:szCs w:val="21"/>
        </w:rPr>
        <w:t xml:space="preserve"> 特性分类</w:t>
      </w:r>
    </w:p>
    <w:p w14:paraId="6FEFDC86">
      <w:pPr>
        <w:pStyle w:val="150"/>
        <w:spacing w:line="360" w:lineRule="auto"/>
        <w:ind w:firstLine="420" w:firstLineChars="200"/>
        <w:rPr>
          <w:rFonts w:ascii="楷体_GB2312" w:eastAsia="楷体"/>
          <w:color w:val="FF0000"/>
          <w:sz w:val="21"/>
          <w:szCs w:val="21"/>
        </w:rPr>
      </w:pPr>
      <w:r>
        <w:rPr>
          <w:rFonts w:hint="eastAsia" w:ascii="楷体_GB2312" w:eastAsia="楷体"/>
          <w:color w:val="FF0000"/>
          <w:sz w:val="21"/>
          <w:szCs w:val="21"/>
        </w:rPr>
        <w:t>GJB 368 装备维修性工作通用要求</w:t>
      </w:r>
    </w:p>
    <w:p w14:paraId="6249D8A9">
      <w:pPr>
        <w:pStyle w:val="150"/>
        <w:spacing w:line="360" w:lineRule="auto"/>
        <w:ind w:firstLine="420" w:firstLineChars="200"/>
        <w:rPr>
          <w:rFonts w:ascii="楷体_GB2312" w:eastAsia="楷体"/>
          <w:color w:val="FF0000"/>
          <w:sz w:val="21"/>
          <w:szCs w:val="21"/>
        </w:rPr>
      </w:pPr>
      <w:r>
        <w:rPr>
          <w:rFonts w:hint="eastAsia" w:ascii="楷体_GB2312" w:eastAsia="楷体"/>
          <w:color w:val="FF0000"/>
          <w:sz w:val="21"/>
          <w:szCs w:val="21"/>
        </w:rPr>
        <w:t>GJB 450 装备可靠性工作通用要求</w:t>
      </w:r>
    </w:p>
    <w:p w14:paraId="7988584B">
      <w:pPr>
        <w:pStyle w:val="150"/>
        <w:spacing w:line="360" w:lineRule="auto"/>
        <w:ind w:firstLine="420" w:firstLineChars="200"/>
        <w:rPr>
          <w:rFonts w:ascii="楷体_GB2312" w:eastAsia="楷体"/>
          <w:color w:val="FF0000"/>
          <w:sz w:val="21"/>
          <w:szCs w:val="21"/>
        </w:rPr>
      </w:pPr>
      <w:r>
        <w:rPr>
          <w:rFonts w:hint="eastAsia" w:ascii="楷体_GB2312" w:eastAsia="楷体"/>
          <w:color w:val="FF0000"/>
          <w:sz w:val="21"/>
          <w:szCs w:val="21"/>
        </w:rPr>
        <w:t>GJB 451 可靠性维修性保障性术语</w:t>
      </w:r>
    </w:p>
    <w:p w14:paraId="471AAEAE">
      <w:pPr>
        <w:pStyle w:val="150"/>
        <w:spacing w:line="360" w:lineRule="auto"/>
        <w:ind w:firstLine="420" w:firstLineChars="200"/>
        <w:rPr>
          <w:rFonts w:ascii="楷体_GB2312" w:eastAsia="楷体"/>
          <w:color w:val="FF0000"/>
          <w:sz w:val="21"/>
          <w:szCs w:val="21"/>
        </w:rPr>
      </w:pPr>
      <w:r>
        <w:rPr>
          <w:rFonts w:hint="eastAsia" w:ascii="楷体_GB2312" w:eastAsia="楷体"/>
          <w:color w:val="FF0000"/>
          <w:sz w:val="21"/>
          <w:szCs w:val="21"/>
        </w:rPr>
        <w:t>GJB 571 不合格品管理</w:t>
      </w:r>
    </w:p>
    <w:p w14:paraId="1867C34B">
      <w:pPr>
        <w:pStyle w:val="150"/>
        <w:spacing w:line="360" w:lineRule="auto"/>
        <w:ind w:firstLine="420" w:firstLineChars="200"/>
        <w:rPr>
          <w:rFonts w:ascii="楷体_GB2312" w:eastAsia="楷体"/>
          <w:color w:val="FF0000"/>
          <w:sz w:val="21"/>
          <w:szCs w:val="21"/>
        </w:rPr>
      </w:pPr>
      <w:r>
        <w:rPr>
          <w:rFonts w:hint="eastAsia" w:ascii="楷体_GB2312" w:eastAsia="楷体"/>
          <w:color w:val="FF0000"/>
          <w:sz w:val="21"/>
          <w:szCs w:val="21"/>
        </w:rPr>
        <w:t>GJB 841 故障报告、分析和纠正措施系统</w:t>
      </w:r>
    </w:p>
    <w:p w14:paraId="6E91A01D">
      <w:pPr>
        <w:pStyle w:val="150"/>
        <w:spacing w:line="360" w:lineRule="auto"/>
        <w:ind w:firstLine="420" w:firstLineChars="200"/>
        <w:rPr>
          <w:rFonts w:ascii="楷体_GB2312" w:eastAsia="楷体"/>
          <w:color w:val="FF0000"/>
          <w:sz w:val="21"/>
          <w:szCs w:val="21"/>
        </w:rPr>
      </w:pPr>
      <w:r>
        <w:rPr>
          <w:rFonts w:hint="eastAsia" w:ascii="楷体_GB2312" w:eastAsia="楷体"/>
          <w:color w:val="FF0000"/>
          <w:sz w:val="21"/>
          <w:szCs w:val="21"/>
        </w:rPr>
        <w:t>GJB 900 装备安全性工作通用要求</w:t>
      </w:r>
    </w:p>
    <w:p w14:paraId="310950E3">
      <w:pPr>
        <w:pStyle w:val="150"/>
        <w:spacing w:line="360" w:lineRule="auto"/>
        <w:ind w:firstLine="420" w:firstLineChars="200"/>
        <w:rPr>
          <w:rFonts w:ascii="楷体_GB2312" w:eastAsia="楷体"/>
          <w:color w:val="FF0000"/>
          <w:sz w:val="21"/>
          <w:szCs w:val="21"/>
        </w:rPr>
      </w:pPr>
      <w:r>
        <w:rPr>
          <w:rFonts w:ascii="楷体_GB2312" w:eastAsia="楷体"/>
          <w:color w:val="FF0000"/>
          <w:sz w:val="21"/>
          <w:szCs w:val="21"/>
        </w:rPr>
        <w:t>GJB</w:t>
      </w:r>
      <w:r>
        <w:rPr>
          <w:rFonts w:hint="eastAsia" w:ascii="楷体_GB2312" w:eastAsia="楷体"/>
          <w:color w:val="FF0000"/>
          <w:sz w:val="21"/>
          <w:szCs w:val="21"/>
        </w:rPr>
        <w:t xml:space="preserve"> </w:t>
      </w:r>
      <w:r>
        <w:rPr>
          <w:rFonts w:ascii="楷体_GB2312" w:eastAsia="楷体"/>
          <w:color w:val="FF0000"/>
          <w:sz w:val="21"/>
          <w:szCs w:val="21"/>
        </w:rPr>
        <w:t>907</w:t>
      </w:r>
      <w:r>
        <w:rPr>
          <w:rFonts w:hint="eastAsia" w:ascii="楷体_GB2312" w:eastAsia="楷体"/>
          <w:color w:val="FF0000"/>
          <w:sz w:val="21"/>
          <w:szCs w:val="21"/>
        </w:rPr>
        <w:t xml:space="preserve"> 产品质量评审</w:t>
      </w:r>
    </w:p>
    <w:p w14:paraId="0E7CAD05">
      <w:pPr>
        <w:pStyle w:val="150"/>
        <w:spacing w:line="360" w:lineRule="auto"/>
        <w:ind w:firstLine="420" w:firstLineChars="200"/>
        <w:rPr>
          <w:rFonts w:ascii="楷体_GB2312" w:eastAsia="楷体"/>
          <w:color w:val="FF0000"/>
          <w:sz w:val="21"/>
          <w:szCs w:val="21"/>
        </w:rPr>
      </w:pPr>
      <w:r>
        <w:rPr>
          <w:rFonts w:ascii="楷体_GB2312" w:eastAsia="楷体"/>
          <w:color w:val="FF0000"/>
          <w:sz w:val="21"/>
          <w:szCs w:val="21"/>
        </w:rPr>
        <w:t>GJB</w:t>
      </w:r>
      <w:r>
        <w:rPr>
          <w:rFonts w:hint="eastAsia" w:ascii="楷体_GB2312" w:eastAsia="楷体"/>
          <w:color w:val="FF0000"/>
          <w:sz w:val="21"/>
          <w:szCs w:val="21"/>
        </w:rPr>
        <w:t xml:space="preserve"> </w:t>
      </w:r>
      <w:r>
        <w:rPr>
          <w:rFonts w:ascii="楷体_GB2312" w:eastAsia="楷体"/>
          <w:color w:val="FF0000"/>
          <w:sz w:val="21"/>
          <w:szCs w:val="21"/>
        </w:rPr>
        <w:t>908</w:t>
      </w:r>
      <w:r>
        <w:rPr>
          <w:rFonts w:hint="eastAsia" w:ascii="楷体_GB2312" w:eastAsia="楷体"/>
          <w:color w:val="FF0000"/>
          <w:sz w:val="21"/>
          <w:szCs w:val="21"/>
        </w:rPr>
        <w:t xml:space="preserve"> 首件鉴定</w:t>
      </w:r>
    </w:p>
    <w:p w14:paraId="29949640">
      <w:pPr>
        <w:pStyle w:val="150"/>
        <w:spacing w:line="360" w:lineRule="auto"/>
        <w:ind w:firstLine="420" w:firstLineChars="200"/>
        <w:rPr>
          <w:rFonts w:ascii="楷体_GB2312" w:eastAsia="楷体"/>
          <w:color w:val="FF0000"/>
          <w:sz w:val="21"/>
          <w:szCs w:val="21"/>
        </w:rPr>
      </w:pPr>
      <w:r>
        <w:rPr>
          <w:rFonts w:ascii="楷体_GB2312" w:eastAsia="楷体"/>
          <w:color w:val="FF0000"/>
          <w:sz w:val="21"/>
          <w:szCs w:val="21"/>
        </w:rPr>
        <w:t>GJB</w:t>
      </w:r>
      <w:r>
        <w:rPr>
          <w:rFonts w:hint="eastAsia" w:ascii="楷体_GB2312" w:eastAsia="楷体"/>
          <w:color w:val="FF0000"/>
          <w:sz w:val="21"/>
          <w:szCs w:val="21"/>
        </w:rPr>
        <w:t xml:space="preserve"> </w:t>
      </w:r>
      <w:r>
        <w:rPr>
          <w:rFonts w:ascii="楷体_GB2312" w:eastAsia="楷体"/>
          <w:color w:val="FF0000"/>
          <w:sz w:val="21"/>
          <w:szCs w:val="21"/>
        </w:rPr>
        <w:t>909</w:t>
      </w:r>
      <w:r>
        <w:rPr>
          <w:rFonts w:hint="eastAsia" w:ascii="楷体_GB2312" w:eastAsia="楷体"/>
          <w:color w:val="FF0000"/>
          <w:sz w:val="21"/>
          <w:szCs w:val="21"/>
        </w:rPr>
        <w:t xml:space="preserve"> 关键件和重要件的质量控制</w:t>
      </w:r>
    </w:p>
    <w:p w14:paraId="65C3044B">
      <w:pPr>
        <w:pStyle w:val="150"/>
        <w:spacing w:line="360" w:lineRule="auto"/>
        <w:ind w:firstLine="420" w:firstLineChars="200"/>
        <w:rPr>
          <w:rFonts w:ascii="楷体_GB2312" w:eastAsia="楷体"/>
          <w:color w:val="FF0000"/>
          <w:sz w:val="21"/>
          <w:szCs w:val="21"/>
        </w:rPr>
      </w:pPr>
      <w:r>
        <w:rPr>
          <w:rFonts w:ascii="楷体_GB2312" w:eastAsia="楷体"/>
          <w:color w:val="FF0000"/>
          <w:sz w:val="21"/>
          <w:szCs w:val="21"/>
        </w:rPr>
        <w:t>GJB</w:t>
      </w:r>
      <w:r>
        <w:rPr>
          <w:rFonts w:hint="eastAsia" w:ascii="楷体_GB2312" w:eastAsia="楷体"/>
          <w:color w:val="FF0000"/>
          <w:sz w:val="21"/>
          <w:szCs w:val="21"/>
        </w:rPr>
        <w:t xml:space="preserve"> </w:t>
      </w:r>
      <w:r>
        <w:rPr>
          <w:rFonts w:ascii="楷体_GB2312" w:eastAsia="楷体"/>
          <w:color w:val="FF0000"/>
          <w:sz w:val="21"/>
          <w:szCs w:val="21"/>
        </w:rPr>
        <w:t>1269</w:t>
      </w:r>
      <w:r>
        <w:rPr>
          <w:rFonts w:hint="eastAsia" w:ascii="楷体_GB2312" w:eastAsia="楷体"/>
          <w:color w:val="FF0000"/>
          <w:sz w:val="21"/>
          <w:szCs w:val="21"/>
        </w:rPr>
        <w:t xml:space="preserve"> 工艺评审</w:t>
      </w:r>
    </w:p>
    <w:p w14:paraId="10F8031D">
      <w:pPr>
        <w:pStyle w:val="150"/>
        <w:spacing w:line="360" w:lineRule="auto"/>
        <w:ind w:firstLine="420" w:firstLineChars="200"/>
        <w:rPr>
          <w:rFonts w:ascii="楷体_GB2312" w:eastAsia="楷体"/>
          <w:color w:val="FF0000"/>
          <w:sz w:val="21"/>
          <w:szCs w:val="21"/>
        </w:rPr>
      </w:pPr>
      <w:r>
        <w:rPr>
          <w:rFonts w:ascii="楷体_GB2312" w:eastAsia="楷体"/>
          <w:color w:val="FF0000"/>
          <w:sz w:val="21"/>
          <w:szCs w:val="21"/>
        </w:rPr>
        <w:t>GJB 1362</w:t>
      </w:r>
      <w:r>
        <w:rPr>
          <w:rFonts w:hint="eastAsia" w:ascii="楷体_GB2312" w:eastAsia="楷体"/>
          <w:color w:val="FF0000"/>
          <w:sz w:val="21"/>
          <w:szCs w:val="21"/>
        </w:rPr>
        <w:t xml:space="preserve"> 军工产品定型程序和要求</w:t>
      </w:r>
    </w:p>
    <w:p w14:paraId="04DCD601">
      <w:pPr>
        <w:pStyle w:val="150"/>
        <w:spacing w:line="360" w:lineRule="auto"/>
        <w:ind w:firstLine="420" w:firstLineChars="200"/>
        <w:rPr>
          <w:rFonts w:ascii="楷体_GB2312" w:eastAsia="楷体"/>
          <w:color w:val="FF0000"/>
          <w:sz w:val="21"/>
          <w:szCs w:val="21"/>
        </w:rPr>
      </w:pPr>
      <w:r>
        <w:rPr>
          <w:rFonts w:hint="eastAsia" w:ascii="楷体_GB2312" w:eastAsia="楷体"/>
          <w:color w:val="FF0000"/>
          <w:sz w:val="21"/>
          <w:szCs w:val="21"/>
        </w:rPr>
        <w:t>GJB 1405 装备质量管理术语</w:t>
      </w:r>
    </w:p>
    <w:p w14:paraId="6EF32190">
      <w:pPr>
        <w:pStyle w:val="150"/>
        <w:spacing w:line="360" w:lineRule="auto"/>
        <w:ind w:firstLine="420" w:firstLineChars="200"/>
        <w:rPr>
          <w:rFonts w:ascii="楷体_GB2312" w:eastAsia="楷体"/>
          <w:color w:val="FF0000"/>
          <w:sz w:val="21"/>
          <w:szCs w:val="21"/>
        </w:rPr>
      </w:pPr>
      <w:r>
        <w:rPr>
          <w:rFonts w:ascii="楷体_GB2312" w:eastAsia="楷体"/>
          <w:color w:val="FF0000"/>
          <w:sz w:val="21"/>
          <w:szCs w:val="21"/>
        </w:rPr>
        <w:t>GJB</w:t>
      </w:r>
      <w:r>
        <w:rPr>
          <w:rFonts w:hint="eastAsia" w:ascii="楷体_GB2312" w:eastAsia="楷体"/>
          <w:color w:val="FF0000"/>
          <w:sz w:val="21"/>
          <w:szCs w:val="21"/>
        </w:rPr>
        <w:t xml:space="preserve"> </w:t>
      </w:r>
      <w:r>
        <w:rPr>
          <w:rFonts w:ascii="楷体_GB2312" w:eastAsia="楷体"/>
          <w:color w:val="FF0000"/>
          <w:sz w:val="21"/>
          <w:szCs w:val="21"/>
        </w:rPr>
        <w:t>1710</w:t>
      </w:r>
      <w:r>
        <w:rPr>
          <w:rFonts w:hint="eastAsia" w:ascii="楷体_GB2312" w:eastAsia="楷体"/>
          <w:color w:val="FF0000"/>
          <w:sz w:val="21"/>
          <w:szCs w:val="21"/>
        </w:rPr>
        <w:t xml:space="preserve"> 试制和生产准备状态检查</w:t>
      </w:r>
    </w:p>
    <w:p w14:paraId="26E98D25">
      <w:pPr>
        <w:pStyle w:val="150"/>
        <w:spacing w:line="360" w:lineRule="auto"/>
        <w:ind w:firstLine="420" w:firstLineChars="200"/>
        <w:rPr>
          <w:rFonts w:ascii="楷体_GB2312" w:eastAsia="楷体"/>
          <w:color w:val="FF0000"/>
          <w:sz w:val="21"/>
          <w:szCs w:val="21"/>
        </w:rPr>
      </w:pPr>
      <w:r>
        <w:rPr>
          <w:rFonts w:hint="eastAsia" w:ascii="楷体_GB2312" w:eastAsia="楷体"/>
          <w:color w:val="FF0000"/>
          <w:sz w:val="21"/>
          <w:szCs w:val="21"/>
        </w:rPr>
        <w:t>GJB 1909 装备可靠性维修性保障性要求论证</w:t>
      </w:r>
    </w:p>
    <w:p w14:paraId="24D689CC">
      <w:pPr>
        <w:pStyle w:val="150"/>
        <w:spacing w:line="360" w:lineRule="auto"/>
        <w:ind w:firstLine="420" w:firstLineChars="200"/>
        <w:rPr>
          <w:rFonts w:ascii="楷体_GB2312" w:eastAsia="楷体"/>
          <w:color w:val="FF0000"/>
          <w:sz w:val="21"/>
          <w:szCs w:val="21"/>
        </w:rPr>
      </w:pPr>
      <w:r>
        <w:rPr>
          <w:rFonts w:hint="eastAsia" w:ascii="楷体_GB2312" w:eastAsia="楷体"/>
          <w:color w:val="FF0000"/>
          <w:sz w:val="21"/>
          <w:szCs w:val="21"/>
        </w:rPr>
        <w:t>GJB 2547 装备测试性工作通用要求</w:t>
      </w:r>
    </w:p>
    <w:p w14:paraId="10B3346C">
      <w:pPr>
        <w:pStyle w:val="150"/>
        <w:spacing w:line="360" w:lineRule="auto"/>
        <w:ind w:firstLine="420" w:firstLineChars="200"/>
        <w:rPr>
          <w:rFonts w:ascii="楷体_GB2312" w:eastAsia="楷体"/>
          <w:color w:val="FF0000"/>
          <w:sz w:val="21"/>
          <w:szCs w:val="21"/>
        </w:rPr>
      </w:pPr>
      <w:r>
        <w:rPr>
          <w:rFonts w:ascii="楷体_GB2312" w:eastAsia="楷体"/>
          <w:color w:val="FF0000"/>
          <w:sz w:val="21"/>
          <w:szCs w:val="21"/>
        </w:rPr>
        <w:t>GJB 3206</w:t>
      </w:r>
      <w:r>
        <w:rPr>
          <w:rFonts w:hint="eastAsia" w:ascii="楷体_GB2312" w:eastAsia="楷体"/>
          <w:color w:val="FF0000"/>
          <w:sz w:val="21"/>
          <w:szCs w:val="21"/>
        </w:rPr>
        <w:t xml:space="preserve">  技术状态管理</w:t>
      </w:r>
    </w:p>
    <w:p w14:paraId="50248D32">
      <w:pPr>
        <w:pStyle w:val="150"/>
        <w:spacing w:line="360" w:lineRule="auto"/>
        <w:ind w:firstLine="420" w:firstLineChars="200"/>
        <w:rPr>
          <w:rFonts w:ascii="楷体_GB2312" w:eastAsia="楷体"/>
          <w:color w:val="FF0000"/>
          <w:sz w:val="21"/>
          <w:szCs w:val="21"/>
        </w:rPr>
      </w:pPr>
      <w:r>
        <w:rPr>
          <w:rFonts w:hint="eastAsia" w:ascii="楷体_GB2312" w:eastAsia="楷体"/>
          <w:color w:val="FF0000"/>
          <w:sz w:val="21"/>
          <w:szCs w:val="21"/>
        </w:rPr>
        <w:t>GJB 3872 装备综合保障通用要求</w:t>
      </w:r>
    </w:p>
    <w:p w14:paraId="28DCF48B">
      <w:pPr>
        <w:pStyle w:val="150"/>
        <w:spacing w:line="360" w:lineRule="auto"/>
        <w:ind w:firstLine="420" w:firstLineChars="200"/>
        <w:rPr>
          <w:rFonts w:ascii="楷体_GB2312" w:eastAsia="楷体"/>
          <w:color w:val="FF0000"/>
          <w:sz w:val="21"/>
          <w:szCs w:val="21"/>
        </w:rPr>
      </w:pPr>
      <w:r>
        <w:rPr>
          <w:rFonts w:hint="eastAsia" w:ascii="楷体_GB2312" w:eastAsia="楷体"/>
          <w:color w:val="FF0000"/>
          <w:sz w:val="21"/>
          <w:szCs w:val="21"/>
        </w:rPr>
        <w:t>GJB 4239 装备环境工程通用要求</w:t>
      </w:r>
    </w:p>
    <w:p w14:paraId="1CC4C742">
      <w:pPr>
        <w:pStyle w:val="150"/>
        <w:spacing w:line="360" w:lineRule="auto"/>
        <w:ind w:firstLine="360" w:firstLineChars="200"/>
        <w:rPr>
          <w:rFonts w:hint="eastAsia" w:ascii="楷体_GB2312" w:eastAsia="楷体"/>
          <w:color w:val="auto"/>
          <w:sz w:val="18"/>
          <w:szCs w:val="18"/>
        </w:rPr>
      </w:pPr>
      <w:r>
        <w:rPr>
          <w:rFonts w:hint="eastAsia" w:ascii="楷体_GB2312" w:eastAsia="楷体"/>
          <w:color w:val="auto"/>
          <w:sz w:val="18"/>
          <w:szCs w:val="18"/>
        </w:rPr>
        <w:t>注：公司在引用上述标准时，需要考虑其适用性，以避免其过使用或欠使用。</w:t>
      </w:r>
    </w:p>
    <w:bookmarkEnd w:id="27"/>
    <w:bookmarkEnd w:id="28"/>
    <w:bookmarkEnd w:id="29"/>
    <w:p w14:paraId="062DAEAF">
      <w:pPr>
        <w:pStyle w:val="2"/>
        <w:jc w:val="left"/>
      </w:pPr>
      <w:bookmarkStart w:id="30" w:name="_Toc352425717"/>
      <w:bookmarkStart w:id="31" w:name="_Toc536539648"/>
      <w:bookmarkStart w:id="32" w:name="_Toc12178"/>
      <w:r>
        <w:rPr>
          <w:rFonts w:hint="eastAsia"/>
        </w:rPr>
        <w:t xml:space="preserve">3 </w:t>
      </w:r>
      <w:bookmarkEnd w:id="30"/>
      <w:r>
        <w:rPr>
          <w:rFonts w:hint="eastAsia"/>
        </w:rPr>
        <w:t>术语和定义</w:t>
      </w:r>
      <w:bookmarkEnd w:id="31"/>
      <w:bookmarkEnd w:id="32"/>
    </w:p>
    <w:p w14:paraId="36879540">
      <w:pPr>
        <w:pStyle w:val="150"/>
        <w:spacing w:line="340" w:lineRule="exact"/>
        <w:ind w:firstLine="480" w:firstLineChars="200"/>
        <w:rPr>
          <w:rFonts w:hAnsi="宋体"/>
          <w:color w:val="auto"/>
          <w:sz w:val="21"/>
          <w:szCs w:val="21"/>
        </w:rPr>
      </w:pPr>
      <w:r>
        <w:rPr>
          <w:rFonts w:hint="eastAsia" w:hAnsi="宋体"/>
          <w:color w:val="auto"/>
        </w:rPr>
        <w:t>本</w:t>
      </w:r>
      <w:r>
        <w:rPr>
          <w:rFonts w:hint="eastAsia" w:hAnsi="宋体"/>
          <w:color w:val="auto"/>
          <w:sz w:val="21"/>
          <w:szCs w:val="21"/>
        </w:rPr>
        <w:t>手册采用GB/T 19000-2016界定的术语和定义。</w:t>
      </w:r>
    </w:p>
    <w:p w14:paraId="28CB6A9A">
      <w:pPr>
        <w:pStyle w:val="150"/>
        <w:spacing w:line="340" w:lineRule="exact"/>
        <w:ind w:firstLine="420" w:firstLineChars="200"/>
        <w:rPr>
          <w:rFonts w:hAnsi="宋体"/>
          <w:color w:val="auto"/>
          <w:sz w:val="21"/>
          <w:szCs w:val="21"/>
        </w:rPr>
      </w:pPr>
      <w:r>
        <w:rPr>
          <w:rFonts w:hAnsi="宋体"/>
          <w:color w:val="auto"/>
          <w:sz w:val="21"/>
          <w:szCs w:val="21"/>
        </w:rPr>
        <w:t>本</w:t>
      </w:r>
      <w:r>
        <w:rPr>
          <w:rFonts w:hint="eastAsia" w:hAnsi="宋体"/>
          <w:color w:val="auto"/>
          <w:sz w:val="21"/>
          <w:szCs w:val="21"/>
        </w:rPr>
        <w:t>手册</w:t>
      </w:r>
      <w:r>
        <w:rPr>
          <w:rFonts w:hAnsi="宋体"/>
          <w:color w:val="auto"/>
          <w:sz w:val="21"/>
          <w:szCs w:val="21"/>
        </w:rPr>
        <w:t>军用产品特殊要求采用</w:t>
      </w:r>
      <w:r>
        <w:rPr>
          <w:rFonts w:hint="eastAsia" w:hAnsi="宋体"/>
          <w:color w:val="auto"/>
          <w:sz w:val="21"/>
          <w:szCs w:val="21"/>
        </w:rPr>
        <w:t>GJB 9001C-2017和GJB 1405中所确立的术语和定义。</w:t>
      </w:r>
    </w:p>
    <w:p w14:paraId="2B81D32F">
      <w:pPr>
        <w:pStyle w:val="2"/>
        <w:jc w:val="left"/>
      </w:pPr>
      <w:bookmarkStart w:id="33" w:name="_Toc30776"/>
      <w:bookmarkStart w:id="34" w:name="_Toc536539649"/>
      <w:r>
        <w:rPr>
          <w:rFonts w:hint="eastAsia"/>
        </w:rPr>
        <w:t>4  组织环境</w:t>
      </w:r>
      <w:bookmarkEnd w:id="33"/>
      <w:bookmarkEnd w:id="34"/>
    </w:p>
    <w:p w14:paraId="3489BFF7">
      <w:pPr>
        <w:pStyle w:val="3"/>
        <w:rPr>
          <w:rFonts w:hint="eastAsia"/>
        </w:rPr>
      </w:pPr>
      <w:bookmarkStart w:id="35" w:name="_Toc87"/>
      <w:bookmarkStart w:id="36" w:name="_Toc536539651"/>
      <w:r>
        <w:rPr>
          <w:rFonts w:hint="eastAsia"/>
        </w:rPr>
        <w:t>4.1 理解组织及其环境</w:t>
      </w:r>
      <w:bookmarkEnd w:id="35"/>
    </w:p>
    <w:p w14:paraId="285F8FFF">
      <w:pPr>
        <w:rPr>
          <w:rFonts w:hint="eastAsia" w:ascii="黑体" w:eastAsia="黑体"/>
          <w:sz w:val="24"/>
        </w:rPr>
      </w:pPr>
      <w:r>
        <w:rPr>
          <w:rFonts w:hint="eastAsia" w:ascii="黑体" w:eastAsia="黑体"/>
          <w:sz w:val="24"/>
        </w:rPr>
        <w:t>4.1.1</w:t>
      </w:r>
      <w:r>
        <w:rPr>
          <w:rFonts w:hint="eastAsia"/>
        </w:rPr>
        <w:t>总经理根据企业发展宗旨和战略方向，通过对国家经济走向、国家产业政策、教育水平、新领域科技、职业道德水准、竞争力等各种外部因素和财务因素、基础设施、人员能力因素、生产或交付能力、企业治理因素（决策、营销程序、组织架构）</w:t>
      </w:r>
      <w:r>
        <w:rPr>
          <w:rFonts w:hint="eastAsia" w:ascii="楷体_GB2312" w:eastAsia="楷体_GB2312"/>
        </w:rPr>
        <w:t>以及与所承担装备任务相关的法律法规、标准、使用需求、保障条件等影响因素，</w:t>
      </w:r>
      <w:r>
        <w:rPr>
          <w:rFonts w:hint="eastAsia"/>
        </w:rPr>
        <w:t>这些因素可能包括需要考虑的正面和负面要素或条件的分析，确定与其宗旨和战略方向相关并影响其实现质量管理体系预期结果的能力的外部和内部因素。</w:t>
      </w:r>
    </w:p>
    <w:p w14:paraId="50A4F4EB">
      <w:pPr>
        <w:rPr>
          <w:rFonts w:hint="eastAsia"/>
        </w:rPr>
      </w:pPr>
      <w:r>
        <w:rPr>
          <w:rFonts w:hint="eastAsia" w:ascii="黑体" w:eastAsia="黑体"/>
          <w:sz w:val="24"/>
        </w:rPr>
        <w:t>4.1.2</w:t>
      </w:r>
      <w:r>
        <w:rPr>
          <w:rFonts w:hint="eastAsia"/>
        </w:rPr>
        <w:t>总经理组织各部门对这些内部和外部因素的相关信息，</w:t>
      </w:r>
      <w:r>
        <w:rPr>
          <w:rFonts w:hint="eastAsia"/>
          <w:highlight w:val="none"/>
        </w:rPr>
        <w:t>通过</w:t>
      </w:r>
      <w:r>
        <w:rPr>
          <w:rFonts w:hint="eastAsia"/>
          <w:highlight w:val="none"/>
          <w:lang w:val="en-US" w:eastAsia="zh-CN"/>
        </w:rPr>
        <w:t>SWOT分析法进行组织内外部环境的</w:t>
      </w:r>
      <w:r>
        <w:rPr>
          <w:rFonts w:hint="eastAsia"/>
          <w:highlight w:val="none"/>
        </w:rPr>
        <w:t>分析，确定公司自身的竞争优势、竞争劣</w:t>
      </w:r>
      <w:r>
        <w:rPr>
          <w:rFonts w:hint="eastAsia"/>
        </w:rPr>
        <w:t>势、机会和威胁并通过内部审核、管理评审等活动，进行监视和评审。</w:t>
      </w:r>
    </w:p>
    <w:p w14:paraId="47E1A412">
      <w:pPr>
        <w:rPr>
          <w:rFonts w:hint="eastAsia"/>
        </w:rPr>
      </w:pPr>
      <w:r>
        <w:rPr>
          <w:rFonts w:hint="eastAsia" w:ascii="宋体"/>
          <w:kern w:val="0"/>
          <w:lang w:val="zh-CN"/>
        </w:rPr>
        <w:t>根据公司的宗旨和战略方向，确定影响实现质量管理体系预期结果的能力的各种外部和内部环境因素见表1。</w:t>
      </w:r>
    </w:p>
    <w:p w14:paraId="59C1FD10">
      <w:pPr>
        <w:spacing w:line="380" w:lineRule="exact"/>
        <w:jc w:val="center"/>
        <w:rPr>
          <w:rFonts w:ascii="宋体" w:hAnsi="宋体"/>
          <w:kern w:val="0"/>
          <w:lang w:val="zh-CN"/>
        </w:rPr>
      </w:pPr>
      <w:r>
        <w:rPr>
          <w:rFonts w:hint="eastAsia" w:ascii="宋体" w:hAnsi="宋体"/>
          <w:kern w:val="0"/>
          <w:lang w:val="zh-CN"/>
        </w:rPr>
        <w:t>表1.环境影响因素表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2604"/>
        <w:gridCol w:w="4352"/>
      </w:tblGrid>
      <w:tr w14:paraId="6300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2" w:type="dxa"/>
            <w:noWrap w:val="0"/>
            <w:vAlign w:val="top"/>
          </w:tcPr>
          <w:p w14:paraId="3FB076DB">
            <w:pPr>
              <w:spacing w:line="380" w:lineRule="exact"/>
              <w:jc w:val="center"/>
              <w:rPr>
                <w:rFonts w:ascii="宋体" w:hAnsi="宋体"/>
                <w:kern w:val="0"/>
                <w:lang w:val="zh-CN"/>
              </w:rPr>
            </w:pPr>
          </w:p>
        </w:tc>
        <w:tc>
          <w:tcPr>
            <w:tcW w:w="2604" w:type="dxa"/>
            <w:noWrap w:val="0"/>
            <w:vAlign w:val="top"/>
          </w:tcPr>
          <w:p w14:paraId="08EE9275">
            <w:pPr>
              <w:spacing w:line="380" w:lineRule="exact"/>
              <w:jc w:val="center"/>
              <w:rPr>
                <w:rFonts w:ascii="宋体" w:hAnsi="宋体"/>
                <w:kern w:val="0"/>
                <w:lang w:val="zh-CN"/>
              </w:rPr>
            </w:pPr>
            <w:r>
              <w:rPr>
                <w:rFonts w:hint="eastAsia" w:ascii="宋体" w:hAnsi="宋体"/>
                <w:kern w:val="0"/>
                <w:lang w:val="zh-CN"/>
              </w:rPr>
              <w:t>影响因素</w:t>
            </w:r>
          </w:p>
        </w:tc>
        <w:tc>
          <w:tcPr>
            <w:tcW w:w="4352" w:type="dxa"/>
            <w:noWrap w:val="0"/>
            <w:vAlign w:val="top"/>
          </w:tcPr>
          <w:p w14:paraId="00862637">
            <w:pPr>
              <w:spacing w:line="380" w:lineRule="exact"/>
              <w:jc w:val="center"/>
              <w:rPr>
                <w:rFonts w:ascii="宋体" w:hAnsi="宋体"/>
                <w:kern w:val="0"/>
                <w:lang w:val="zh-CN"/>
              </w:rPr>
            </w:pPr>
            <w:r>
              <w:rPr>
                <w:rFonts w:hint="eastAsia" w:ascii="宋体" w:hAnsi="宋体"/>
                <w:kern w:val="0"/>
                <w:lang w:val="zh-CN"/>
              </w:rPr>
              <w:t>详细因素</w:t>
            </w:r>
          </w:p>
        </w:tc>
      </w:tr>
      <w:tr w14:paraId="6E37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restart"/>
            <w:noWrap w:val="0"/>
            <w:vAlign w:val="center"/>
          </w:tcPr>
          <w:p w14:paraId="54FE7B71">
            <w:pPr>
              <w:spacing w:line="380" w:lineRule="exact"/>
              <w:jc w:val="center"/>
              <w:rPr>
                <w:rFonts w:ascii="宋体" w:hAnsi="宋体"/>
                <w:kern w:val="0"/>
                <w:lang w:val="zh-CN"/>
              </w:rPr>
            </w:pPr>
            <w:r>
              <w:rPr>
                <w:rFonts w:hint="eastAsia" w:ascii="宋体" w:hAnsi="宋体"/>
                <w:kern w:val="0"/>
                <w:lang w:val="zh-CN"/>
              </w:rPr>
              <w:t>外部环境</w:t>
            </w:r>
          </w:p>
        </w:tc>
        <w:tc>
          <w:tcPr>
            <w:tcW w:w="2604" w:type="dxa"/>
            <w:vMerge w:val="restart"/>
            <w:noWrap w:val="0"/>
            <w:vAlign w:val="top"/>
          </w:tcPr>
          <w:p w14:paraId="568EF01D">
            <w:pPr>
              <w:spacing w:line="380" w:lineRule="exact"/>
              <w:rPr>
                <w:rFonts w:ascii="宋体" w:hAnsi="宋体"/>
                <w:kern w:val="0"/>
                <w:lang w:val="zh-CN"/>
              </w:rPr>
            </w:pPr>
            <w:r>
              <w:rPr>
                <w:rFonts w:hint="eastAsia" w:ascii="宋体" w:hAnsi="宋体"/>
                <w:kern w:val="0"/>
                <w:lang w:val="zh-CN"/>
              </w:rPr>
              <w:t>政策法规环境</w:t>
            </w:r>
          </w:p>
        </w:tc>
        <w:tc>
          <w:tcPr>
            <w:tcW w:w="4352" w:type="dxa"/>
            <w:noWrap w:val="0"/>
            <w:vAlign w:val="top"/>
          </w:tcPr>
          <w:p w14:paraId="3F816B1B">
            <w:pPr>
              <w:spacing w:line="380" w:lineRule="exact"/>
              <w:rPr>
                <w:rFonts w:ascii="宋体" w:hAnsi="宋体"/>
                <w:kern w:val="0"/>
                <w:lang w:val="zh-CN"/>
              </w:rPr>
            </w:pPr>
            <w:r>
              <w:rPr>
                <w:rFonts w:hint="eastAsia" w:ascii="宋体" w:hAnsi="宋体"/>
                <w:kern w:val="0"/>
                <w:lang w:val="zh-CN"/>
              </w:rPr>
              <w:t>法律法规</w:t>
            </w:r>
          </w:p>
        </w:tc>
      </w:tr>
      <w:tr w14:paraId="310E8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67D93A81">
            <w:pPr>
              <w:spacing w:line="380" w:lineRule="exact"/>
              <w:rPr>
                <w:rFonts w:ascii="宋体" w:hAnsi="宋体"/>
                <w:kern w:val="0"/>
                <w:lang w:val="zh-CN"/>
              </w:rPr>
            </w:pPr>
          </w:p>
        </w:tc>
        <w:tc>
          <w:tcPr>
            <w:tcW w:w="2604" w:type="dxa"/>
            <w:vMerge w:val="continue"/>
            <w:noWrap w:val="0"/>
            <w:vAlign w:val="top"/>
          </w:tcPr>
          <w:p w14:paraId="23B9832E">
            <w:pPr>
              <w:spacing w:line="380" w:lineRule="exact"/>
              <w:rPr>
                <w:rFonts w:ascii="宋体" w:hAnsi="宋体"/>
                <w:kern w:val="0"/>
                <w:lang w:val="zh-CN"/>
              </w:rPr>
            </w:pPr>
          </w:p>
        </w:tc>
        <w:tc>
          <w:tcPr>
            <w:tcW w:w="4352" w:type="dxa"/>
            <w:noWrap w:val="0"/>
            <w:vAlign w:val="top"/>
          </w:tcPr>
          <w:p w14:paraId="6C0DC841">
            <w:pPr>
              <w:spacing w:line="380" w:lineRule="exact"/>
              <w:rPr>
                <w:rFonts w:ascii="宋体" w:hAnsi="宋体"/>
                <w:kern w:val="0"/>
                <w:lang w:val="zh-CN"/>
              </w:rPr>
            </w:pPr>
            <w:r>
              <w:rPr>
                <w:rFonts w:hint="eastAsia" w:ascii="宋体" w:hAnsi="宋体"/>
                <w:kern w:val="0"/>
                <w:lang w:val="zh-CN"/>
              </w:rPr>
              <w:t>标准</w:t>
            </w:r>
          </w:p>
        </w:tc>
      </w:tr>
      <w:tr w14:paraId="1E79F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7C7B053C">
            <w:pPr>
              <w:spacing w:line="380" w:lineRule="exact"/>
              <w:rPr>
                <w:rFonts w:ascii="宋体" w:hAnsi="宋体"/>
                <w:kern w:val="0"/>
                <w:lang w:val="zh-CN"/>
              </w:rPr>
            </w:pPr>
          </w:p>
        </w:tc>
        <w:tc>
          <w:tcPr>
            <w:tcW w:w="2604" w:type="dxa"/>
            <w:vMerge w:val="restart"/>
            <w:noWrap w:val="0"/>
            <w:vAlign w:val="top"/>
          </w:tcPr>
          <w:p w14:paraId="58060EBB">
            <w:pPr>
              <w:spacing w:line="380" w:lineRule="exact"/>
              <w:rPr>
                <w:rFonts w:ascii="宋体" w:hAnsi="宋体"/>
                <w:kern w:val="0"/>
                <w:lang w:val="zh-CN"/>
              </w:rPr>
            </w:pPr>
            <w:r>
              <w:rPr>
                <w:rFonts w:hint="eastAsia" w:ascii="宋体" w:hAnsi="宋体"/>
                <w:kern w:val="0"/>
                <w:lang w:val="zh-CN"/>
              </w:rPr>
              <w:t>顾客和细分市场环境</w:t>
            </w:r>
            <w:r>
              <w:rPr>
                <w:rFonts w:hint="eastAsia" w:ascii="楷体_GB2312" w:hAnsi="楷体" w:eastAsia="楷体_GB2312"/>
                <w:kern w:val="0"/>
                <w:lang w:val="zh-CN"/>
              </w:rPr>
              <w:t>（含法律法规、标准、使用需求）</w:t>
            </w:r>
          </w:p>
        </w:tc>
        <w:tc>
          <w:tcPr>
            <w:tcW w:w="4352" w:type="dxa"/>
            <w:noWrap w:val="0"/>
            <w:vAlign w:val="top"/>
          </w:tcPr>
          <w:p w14:paraId="1AC19540">
            <w:pPr>
              <w:spacing w:line="380" w:lineRule="exact"/>
              <w:rPr>
                <w:rFonts w:ascii="宋体" w:hAnsi="宋体"/>
                <w:kern w:val="0"/>
              </w:rPr>
            </w:pPr>
            <w:r>
              <w:rPr>
                <w:rFonts w:hint="eastAsia" w:ascii="宋体" w:hAnsi="宋体"/>
                <w:kern w:val="0"/>
                <w:lang w:val="zh-CN"/>
              </w:rPr>
              <w:t>技术研究领域市场分析/顾客需求和期望</w:t>
            </w:r>
          </w:p>
        </w:tc>
      </w:tr>
      <w:tr w14:paraId="2D70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7D98932D">
            <w:pPr>
              <w:spacing w:line="380" w:lineRule="exact"/>
              <w:rPr>
                <w:rFonts w:ascii="宋体" w:hAnsi="宋体"/>
                <w:kern w:val="0"/>
                <w:lang w:val="zh-CN"/>
              </w:rPr>
            </w:pPr>
          </w:p>
        </w:tc>
        <w:tc>
          <w:tcPr>
            <w:tcW w:w="2604" w:type="dxa"/>
            <w:vMerge w:val="continue"/>
            <w:noWrap w:val="0"/>
            <w:vAlign w:val="top"/>
          </w:tcPr>
          <w:p w14:paraId="70F470B7">
            <w:pPr>
              <w:spacing w:line="380" w:lineRule="exact"/>
              <w:rPr>
                <w:rFonts w:ascii="宋体" w:hAnsi="宋体"/>
                <w:kern w:val="0"/>
                <w:lang w:val="zh-CN"/>
              </w:rPr>
            </w:pPr>
          </w:p>
        </w:tc>
        <w:tc>
          <w:tcPr>
            <w:tcW w:w="4352" w:type="dxa"/>
            <w:noWrap w:val="0"/>
            <w:vAlign w:val="top"/>
          </w:tcPr>
          <w:p w14:paraId="0AE08E7D">
            <w:pPr>
              <w:spacing w:line="380" w:lineRule="exact"/>
              <w:rPr>
                <w:rFonts w:ascii="宋体" w:hAnsi="宋体"/>
                <w:kern w:val="0"/>
                <w:lang w:val="zh-CN"/>
              </w:rPr>
            </w:pPr>
            <w:r>
              <w:rPr>
                <w:rFonts w:hint="eastAsia" w:ascii="宋体" w:hAnsi="宋体"/>
                <w:kern w:val="0"/>
                <w:lang w:val="zh-CN"/>
              </w:rPr>
              <w:t>市场分析/顾客需求和期望</w:t>
            </w:r>
          </w:p>
        </w:tc>
      </w:tr>
      <w:tr w14:paraId="0B96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215240BF">
            <w:pPr>
              <w:spacing w:line="380" w:lineRule="exact"/>
              <w:rPr>
                <w:rFonts w:ascii="宋体" w:hAnsi="宋体"/>
                <w:kern w:val="0"/>
                <w:lang w:val="zh-CN"/>
              </w:rPr>
            </w:pPr>
          </w:p>
        </w:tc>
        <w:tc>
          <w:tcPr>
            <w:tcW w:w="2604" w:type="dxa"/>
            <w:vMerge w:val="restart"/>
            <w:noWrap w:val="0"/>
            <w:vAlign w:val="top"/>
          </w:tcPr>
          <w:p w14:paraId="4CD02230">
            <w:pPr>
              <w:spacing w:line="380" w:lineRule="exact"/>
              <w:rPr>
                <w:rFonts w:ascii="宋体" w:hAnsi="宋体"/>
                <w:kern w:val="0"/>
                <w:lang w:val="zh-CN"/>
              </w:rPr>
            </w:pPr>
            <w:r>
              <w:rPr>
                <w:rFonts w:hint="eastAsia" w:ascii="宋体" w:hAnsi="宋体"/>
                <w:kern w:val="0"/>
                <w:lang w:val="zh-CN"/>
              </w:rPr>
              <w:t>供应链环境</w:t>
            </w:r>
          </w:p>
        </w:tc>
        <w:tc>
          <w:tcPr>
            <w:tcW w:w="4352" w:type="dxa"/>
            <w:noWrap w:val="0"/>
            <w:vAlign w:val="top"/>
          </w:tcPr>
          <w:p w14:paraId="5E5CFFD6">
            <w:pPr>
              <w:spacing w:line="380" w:lineRule="exact"/>
              <w:rPr>
                <w:rFonts w:ascii="宋体" w:hAnsi="宋体"/>
                <w:kern w:val="0"/>
                <w:lang w:val="zh-CN"/>
              </w:rPr>
            </w:pPr>
            <w:r>
              <w:rPr>
                <w:rFonts w:hint="eastAsia" w:ascii="宋体" w:hAnsi="宋体"/>
                <w:kern w:val="0"/>
                <w:lang w:val="zh-CN"/>
              </w:rPr>
              <w:t>战略合作伙伴关系</w:t>
            </w:r>
          </w:p>
        </w:tc>
      </w:tr>
      <w:tr w14:paraId="0A344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1CCDB66F">
            <w:pPr>
              <w:spacing w:line="380" w:lineRule="exact"/>
              <w:rPr>
                <w:rFonts w:ascii="宋体" w:hAnsi="宋体"/>
                <w:kern w:val="0"/>
                <w:lang w:val="zh-CN"/>
              </w:rPr>
            </w:pPr>
          </w:p>
        </w:tc>
        <w:tc>
          <w:tcPr>
            <w:tcW w:w="2604" w:type="dxa"/>
            <w:vMerge w:val="continue"/>
            <w:noWrap w:val="0"/>
            <w:vAlign w:val="top"/>
          </w:tcPr>
          <w:p w14:paraId="0CE957F4">
            <w:pPr>
              <w:spacing w:line="380" w:lineRule="exact"/>
              <w:rPr>
                <w:rFonts w:ascii="宋体" w:hAnsi="宋体"/>
                <w:kern w:val="0"/>
                <w:lang w:val="zh-CN"/>
              </w:rPr>
            </w:pPr>
          </w:p>
        </w:tc>
        <w:tc>
          <w:tcPr>
            <w:tcW w:w="4352" w:type="dxa"/>
            <w:noWrap w:val="0"/>
            <w:vAlign w:val="top"/>
          </w:tcPr>
          <w:p w14:paraId="7D7F8DEC">
            <w:pPr>
              <w:spacing w:line="380" w:lineRule="exact"/>
              <w:rPr>
                <w:rFonts w:ascii="宋体" w:hAnsi="宋体"/>
                <w:kern w:val="0"/>
                <w:lang w:val="zh-CN"/>
              </w:rPr>
            </w:pPr>
            <w:r>
              <w:rPr>
                <w:rFonts w:hint="eastAsia" w:ascii="宋体" w:hAnsi="宋体"/>
                <w:kern w:val="0"/>
                <w:lang w:val="zh-CN"/>
              </w:rPr>
              <w:t>联合研制合作伙伴</w:t>
            </w:r>
          </w:p>
        </w:tc>
      </w:tr>
      <w:tr w14:paraId="5D89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06B54B06">
            <w:pPr>
              <w:spacing w:line="380" w:lineRule="exact"/>
              <w:rPr>
                <w:rFonts w:ascii="宋体" w:hAnsi="宋体"/>
                <w:kern w:val="0"/>
                <w:lang w:val="zh-CN"/>
              </w:rPr>
            </w:pPr>
          </w:p>
        </w:tc>
        <w:tc>
          <w:tcPr>
            <w:tcW w:w="2604" w:type="dxa"/>
            <w:vMerge w:val="continue"/>
            <w:noWrap w:val="0"/>
            <w:vAlign w:val="top"/>
          </w:tcPr>
          <w:p w14:paraId="1AAE3455">
            <w:pPr>
              <w:spacing w:line="380" w:lineRule="exact"/>
              <w:rPr>
                <w:rFonts w:ascii="宋体" w:hAnsi="宋体"/>
                <w:kern w:val="0"/>
                <w:lang w:val="zh-CN"/>
              </w:rPr>
            </w:pPr>
          </w:p>
        </w:tc>
        <w:tc>
          <w:tcPr>
            <w:tcW w:w="4352" w:type="dxa"/>
            <w:noWrap w:val="0"/>
            <w:vAlign w:val="top"/>
          </w:tcPr>
          <w:p w14:paraId="79A8FA74">
            <w:pPr>
              <w:spacing w:line="380" w:lineRule="exact"/>
              <w:rPr>
                <w:rFonts w:ascii="宋体" w:hAnsi="宋体"/>
                <w:kern w:val="0"/>
                <w:lang w:val="zh-CN"/>
              </w:rPr>
            </w:pPr>
            <w:r>
              <w:rPr>
                <w:rFonts w:hint="eastAsia" w:ascii="宋体" w:hAnsi="宋体"/>
                <w:kern w:val="0"/>
                <w:lang w:val="zh-CN"/>
              </w:rPr>
              <w:t>外协供应方</w:t>
            </w:r>
          </w:p>
        </w:tc>
      </w:tr>
      <w:tr w14:paraId="6878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6F1B20EC">
            <w:pPr>
              <w:spacing w:line="380" w:lineRule="exact"/>
              <w:rPr>
                <w:rFonts w:ascii="宋体" w:hAnsi="宋体"/>
                <w:kern w:val="0"/>
                <w:lang w:val="zh-CN"/>
              </w:rPr>
            </w:pPr>
          </w:p>
        </w:tc>
        <w:tc>
          <w:tcPr>
            <w:tcW w:w="2604" w:type="dxa"/>
            <w:vMerge w:val="continue"/>
            <w:noWrap w:val="0"/>
            <w:vAlign w:val="top"/>
          </w:tcPr>
          <w:p w14:paraId="43097BD6">
            <w:pPr>
              <w:spacing w:line="380" w:lineRule="exact"/>
              <w:rPr>
                <w:rFonts w:ascii="宋体" w:hAnsi="宋体"/>
                <w:kern w:val="0"/>
                <w:lang w:val="zh-CN"/>
              </w:rPr>
            </w:pPr>
          </w:p>
        </w:tc>
        <w:tc>
          <w:tcPr>
            <w:tcW w:w="4352" w:type="dxa"/>
            <w:noWrap w:val="0"/>
            <w:vAlign w:val="top"/>
          </w:tcPr>
          <w:p w14:paraId="282F1CC9">
            <w:pPr>
              <w:spacing w:line="380" w:lineRule="exact"/>
              <w:rPr>
                <w:rFonts w:ascii="宋体" w:hAnsi="宋体"/>
                <w:kern w:val="0"/>
                <w:lang w:val="zh-CN"/>
              </w:rPr>
            </w:pPr>
            <w:r>
              <w:rPr>
                <w:rFonts w:hint="eastAsia" w:ascii="宋体" w:hAnsi="宋体"/>
                <w:kern w:val="0"/>
                <w:lang w:val="zh-CN"/>
              </w:rPr>
              <w:t>配套产品供应商</w:t>
            </w:r>
          </w:p>
        </w:tc>
      </w:tr>
      <w:tr w14:paraId="3100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192DFD81">
            <w:pPr>
              <w:spacing w:line="380" w:lineRule="exact"/>
              <w:rPr>
                <w:rFonts w:ascii="宋体" w:hAnsi="宋体"/>
                <w:kern w:val="0"/>
                <w:lang w:val="zh-CN"/>
              </w:rPr>
            </w:pPr>
          </w:p>
        </w:tc>
        <w:tc>
          <w:tcPr>
            <w:tcW w:w="2604" w:type="dxa"/>
            <w:vMerge w:val="continue"/>
            <w:noWrap w:val="0"/>
            <w:vAlign w:val="top"/>
          </w:tcPr>
          <w:p w14:paraId="08F5A6AD">
            <w:pPr>
              <w:spacing w:line="380" w:lineRule="exact"/>
              <w:rPr>
                <w:rFonts w:ascii="宋体" w:hAnsi="宋体"/>
                <w:kern w:val="0"/>
                <w:lang w:val="zh-CN"/>
              </w:rPr>
            </w:pPr>
          </w:p>
        </w:tc>
        <w:tc>
          <w:tcPr>
            <w:tcW w:w="4352" w:type="dxa"/>
            <w:noWrap w:val="0"/>
            <w:vAlign w:val="top"/>
          </w:tcPr>
          <w:p w14:paraId="026E4303">
            <w:pPr>
              <w:spacing w:line="380" w:lineRule="exact"/>
              <w:rPr>
                <w:rFonts w:ascii="宋体" w:hAnsi="宋体"/>
                <w:kern w:val="0"/>
                <w:lang w:val="zh-CN"/>
              </w:rPr>
            </w:pPr>
            <w:r>
              <w:rPr>
                <w:rFonts w:hint="eastAsia" w:ascii="宋体" w:hAnsi="宋体"/>
                <w:kern w:val="0"/>
                <w:lang w:val="zh-CN"/>
              </w:rPr>
              <w:t>元器件、原材料生产商</w:t>
            </w:r>
          </w:p>
        </w:tc>
      </w:tr>
      <w:tr w14:paraId="70E29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25ECCC53">
            <w:pPr>
              <w:spacing w:line="380" w:lineRule="exact"/>
              <w:rPr>
                <w:rFonts w:ascii="宋体" w:hAnsi="宋体"/>
                <w:kern w:val="0"/>
                <w:lang w:val="zh-CN"/>
              </w:rPr>
            </w:pPr>
          </w:p>
        </w:tc>
        <w:tc>
          <w:tcPr>
            <w:tcW w:w="2604" w:type="dxa"/>
            <w:vMerge w:val="continue"/>
            <w:noWrap w:val="0"/>
            <w:vAlign w:val="top"/>
          </w:tcPr>
          <w:p w14:paraId="137680D9">
            <w:pPr>
              <w:spacing w:line="380" w:lineRule="exact"/>
              <w:rPr>
                <w:rFonts w:ascii="宋体" w:hAnsi="宋体"/>
                <w:kern w:val="0"/>
                <w:lang w:val="zh-CN"/>
              </w:rPr>
            </w:pPr>
          </w:p>
        </w:tc>
        <w:tc>
          <w:tcPr>
            <w:tcW w:w="4352" w:type="dxa"/>
            <w:noWrap w:val="0"/>
            <w:vAlign w:val="top"/>
          </w:tcPr>
          <w:p w14:paraId="2B7C4D0F">
            <w:pPr>
              <w:spacing w:line="380" w:lineRule="exact"/>
              <w:rPr>
                <w:rFonts w:ascii="宋体" w:hAnsi="宋体"/>
                <w:kern w:val="0"/>
                <w:lang w:val="zh-CN"/>
              </w:rPr>
            </w:pPr>
            <w:r>
              <w:rPr>
                <w:rFonts w:hint="eastAsia" w:ascii="宋体" w:hAnsi="宋体"/>
                <w:kern w:val="0"/>
                <w:lang w:val="zh-CN"/>
              </w:rPr>
              <w:t>元器件、原材料代理商</w:t>
            </w:r>
          </w:p>
        </w:tc>
      </w:tr>
      <w:tr w14:paraId="6512D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7AAE2BF0">
            <w:pPr>
              <w:spacing w:line="380" w:lineRule="exact"/>
              <w:rPr>
                <w:rFonts w:ascii="宋体" w:hAnsi="宋体"/>
                <w:kern w:val="0"/>
                <w:lang w:val="zh-CN"/>
              </w:rPr>
            </w:pPr>
          </w:p>
        </w:tc>
        <w:tc>
          <w:tcPr>
            <w:tcW w:w="2604" w:type="dxa"/>
            <w:noWrap w:val="0"/>
            <w:vAlign w:val="top"/>
          </w:tcPr>
          <w:p w14:paraId="2B5B0A9B">
            <w:pPr>
              <w:spacing w:line="380" w:lineRule="exact"/>
              <w:rPr>
                <w:rFonts w:ascii="宋体" w:hAnsi="宋体"/>
                <w:kern w:val="0"/>
                <w:lang w:val="zh-CN"/>
              </w:rPr>
            </w:pPr>
            <w:r>
              <w:rPr>
                <w:rFonts w:hint="eastAsia" w:ascii="宋体" w:hAnsi="宋体"/>
                <w:kern w:val="0"/>
                <w:lang w:val="zh-CN"/>
              </w:rPr>
              <w:t>竞争对手环境</w:t>
            </w:r>
          </w:p>
        </w:tc>
        <w:tc>
          <w:tcPr>
            <w:tcW w:w="4352" w:type="dxa"/>
            <w:noWrap w:val="0"/>
            <w:vAlign w:val="top"/>
          </w:tcPr>
          <w:p w14:paraId="11A7AE1A">
            <w:pPr>
              <w:spacing w:line="380" w:lineRule="exact"/>
              <w:rPr>
                <w:rFonts w:ascii="宋体" w:hAnsi="宋体"/>
                <w:kern w:val="0"/>
                <w:lang w:val="zh-CN"/>
              </w:rPr>
            </w:pPr>
          </w:p>
        </w:tc>
      </w:tr>
      <w:tr w14:paraId="15546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476B48A3">
            <w:pPr>
              <w:spacing w:line="380" w:lineRule="exact"/>
              <w:rPr>
                <w:rFonts w:ascii="宋体" w:hAnsi="宋体"/>
                <w:kern w:val="0"/>
                <w:lang w:val="zh-CN"/>
              </w:rPr>
            </w:pPr>
          </w:p>
        </w:tc>
        <w:tc>
          <w:tcPr>
            <w:tcW w:w="2604" w:type="dxa"/>
            <w:noWrap w:val="0"/>
            <w:vAlign w:val="top"/>
          </w:tcPr>
          <w:p w14:paraId="17887F63">
            <w:pPr>
              <w:spacing w:line="380" w:lineRule="exact"/>
              <w:rPr>
                <w:rFonts w:ascii="宋体" w:hAnsi="宋体"/>
                <w:kern w:val="0"/>
                <w:lang w:val="zh-CN"/>
              </w:rPr>
            </w:pPr>
            <w:r>
              <w:rPr>
                <w:rFonts w:hint="eastAsia" w:ascii="宋体" w:hAnsi="宋体"/>
                <w:kern w:val="0"/>
                <w:lang w:val="zh-CN"/>
              </w:rPr>
              <w:t>技术发展</w:t>
            </w:r>
          </w:p>
        </w:tc>
        <w:tc>
          <w:tcPr>
            <w:tcW w:w="4352" w:type="dxa"/>
            <w:noWrap w:val="0"/>
            <w:vAlign w:val="top"/>
          </w:tcPr>
          <w:p w14:paraId="128E8F44">
            <w:pPr>
              <w:spacing w:line="380" w:lineRule="exact"/>
              <w:rPr>
                <w:rFonts w:ascii="宋体" w:hAnsi="宋体"/>
                <w:kern w:val="0"/>
                <w:lang w:val="zh-CN"/>
              </w:rPr>
            </w:pPr>
          </w:p>
        </w:tc>
      </w:tr>
      <w:tr w14:paraId="6A16E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13197A74">
            <w:pPr>
              <w:spacing w:line="380" w:lineRule="exact"/>
              <w:rPr>
                <w:rFonts w:ascii="宋体" w:hAnsi="宋体"/>
                <w:kern w:val="0"/>
                <w:lang w:val="zh-CN"/>
              </w:rPr>
            </w:pPr>
          </w:p>
        </w:tc>
        <w:tc>
          <w:tcPr>
            <w:tcW w:w="2604" w:type="dxa"/>
            <w:vMerge w:val="restart"/>
            <w:noWrap w:val="0"/>
            <w:vAlign w:val="top"/>
          </w:tcPr>
          <w:p w14:paraId="039EDFB4">
            <w:pPr>
              <w:spacing w:line="380" w:lineRule="exact"/>
              <w:rPr>
                <w:rFonts w:ascii="宋体" w:hAnsi="宋体"/>
                <w:kern w:val="0"/>
                <w:lang w:val="zh-CN"/>
              </w:rPr>
            </w:pPr>
            <w:r>
              <w:rPr>
                <w:rFonts w:hint="eastAsia" w:ascii="宋体" w:hAnsi="宋体"/>
                <w:kern w:val="0"/>
                <w:lang w:val="zh-CN"/>
              </w:rPr>
              <w:t>社会环境</w:t>
            </w:r>
          </w:p>
        </w:tc>
        <w:tc>
          <w:tcPr>
            <w:tcW w:w="4352" w:type="dxa"/>
            <w:noWrap w:val="0"/>
            <w:vAlign w:val="top"/>
          </w:tcPr>
          <w:p w14:paraId="70FB1B24">
            <w:pPr>
              <w:spacing w:line="380" w:lineRule="exact"/>
              <w:rPr>
                <w:rFonts w:ascii="宋体" w:hAnsi="宋体"/>
                <w:kern w:val="0"/>
                <w:lang w:val="zh-CN"/>
              </w:rPr>
            </w:pPr>
            <w:r>
              <w:rPr>
                <w:rFonts w:hint="eastAsia" w:ascii="宋体" w:hAnsi="宋体"/>
                <w:kern w:val="0"/>
                <w:lang w:val="zh-CN"/>
              </w:rPr>
              <w:t>社会责任</w:t>
            </w:r>
          </w:p>
        </w:tc>
      </w:tr>
      <w:tr w14:paraId="3115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564399D1">
            <w:pPr>
              <w:spacing w:line="380" w:lineRule="exact"/>
              <w:rPr>
                <w:rFonts w:ascii="宋体" w:hAnsi="宋体"/>
                <w:kern w:val="0"/>
                <w:lang w:val="zh-CN"/>
              </w:rPr>
            </w:pPr>
          </w:p>
        </w:tc>
        <w:tc>
          <w:tcPr>
            <w:tcW w:w="2604" w:type="dxa"/>
            <w:vMerge w:val="continue"/>
            <w:noWrap w:val="0"/>
            <w:vAlign w:val="top"/>
          </w:tcPr>
          <w:p w14:paraId="4B283BCE">
            <w:pPr>
              <w:spacing w:line="380" w:lineRule="exact"/>
              <w:rPr>
                <w:rFonts w:ascii="宋体" w:hAnsi="宋体"/>
                <w:kern w:val="0"/>
                <w:lang w:val="zh-CN"/>
              </w:rPr>
            </w:pPr>
          </w:p>
        </w:tc>
        <w:tc>
          <w:tcPr>
            <w:tcW w:w="4352" w:type="dxa"/>
            <w:noWrap w:val="0"/>
            <w:vAlign w:val="top"/>
          </w:tcPr>
          <w:p w14:paraId="776A8786">
            <w:pPr>
              <w:spacing w:line="380" w:lineRule="exact"/>
              <w:rPr>
                <w:rFonts w:ascii="宋体" w:hAnsi="宋体"/>
                <w:kern w:val="0"/>
                <w:lang w:val="zh-CN"/>
              </w:rPr>
            </w:pPr>
            <w:r>
              <w:rPr>
                <w:rFonts w:hint="eastAsia" w:ascii="宋体" w:hAnsi="宋体"/>
                <w:kern w:val="0"/>
                <w:lang w:val="zh-CN"/>
              </w:rPr>
              <w:t>环境保护</w:t>
            </w:r>
          </w:p>
        </w:tc>
      </w:tr>
      <w:tr w14:paraId="30F2B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2C7054F9">
            <w:pPr>
              <w:spacing w:line="380" w:lineRule="exact"/>
              <w:rPr>
                <w:rFonts w:ascii="宋体" w:hAnsi="宋体"/>
                <w:kern w:val="0"/>
                <w:lang w:val="zh-CN"/>
              </w:rPr>
            </w:pPr>
          </w:p>
        </w:tc>
        <w:tc>
          <w:tcPr>
            <w:tcW w:w="2604" w:type="dxa"/>
            <w:noWrap w:val="0"/>
            <w:vAlign w:val="top"/>
          </w:tcPr>
          <w:p w14:paraId="3334EF8C">
            <w:pPr>
              <w:spacing w:line="380" w:lineRule="exact"/>
              <w:rPr>
                <w:rFonts w:ascii="宋体" w:hAnsi="宋体"/>
                <w:kern w:val="0"/>
                <w:lang w:val="zh-CN"/>
              </w:rPr>
            </w:pPr>
            <w:r>
              <w:rPr>
                <w:rFonts w:hint="eastAsia" w:ascii="宋体" w:hAnsi="宋体"/>
                <w:kern w:val="0"/>
                <w:lang w:val="zh-CN"/>
              </w:rPr>
              <w:t>独立的第三方认可、检验检测机构</w:t>
            </w:r>
          </w:p>
        </w:tc>
        <w:tc>
          <w:tcPr>
            <w:tcW w:w="4352" w:type="dxa"/>
            <w:noWrap w:val="0"/>
            <w:vAlign w:val="top"/>
          </w:tcPr>
          <w:p w14:paraId="2A360EB8">
            <w:pPr>
              <w:spacing w:line="380" w:lineRule="exact"/>
              <w:rPr>
                <w:rFonts w:ascii="宋体" w:hAnsi="宋体"/>
                <w:kern w:val="0"/>
                <w:lang w:val="zh-CN"/>
              </w:rPr>
            </w:pPr>
          </w:p>
        </w:tc>
      </w:tr>
      <w:tr w14:paraId="60AAF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restart"/>
            <w:noWrap w:val="0"/>
            <w:vAlign w:val="center"/>
          </w:tcPr>
          <w:p w14:paraId="3AAFEB92">
            <w:pPr>
              <w:spacing w:line="380" w:lineRule="exact"/>
              <w:jc w:val="center"/>
              <w:rPr>
                <w:rFonts w:ascii="宋体" w:hAnsi="宋体"/>
                <w:kern w:val="0"/>
                <w:lang w:val="zh-CN"/>
              </w:rPr>
            </w:pPr>
            <w:r>
              <w:rPr>
                <w:rFonts w:hint="eastAsia" w:ascii="宋体" w:hAnsi="宋体"/>
                <w:kern w:val="0"/>
                <w:lang w:val="zh-CN"/>
              </w:rPr>
              <w:t>内部环境</w:t>
            </w:r>
          </w:p>
        </w:tc>
        <w:tc>
          <w:tcPr>
            <w:tcW w:w="2604" w:type="dxa"/>
            <w:vMerge w:val="restart"/>
            <w:noWrap w:val="0"/>
            <w:vAlign w:val="top"/>
          </w:tcPr>
          <w:p w14:paraId="02260A4E">
            <w:pPr>
              <w:spacing w:line="380" w:lineRule="exact"/>
              <w:rPr>
                <w:rFonts w:ascii="宋体" w:hAnsi="宋体"/>
                <w:kern w:val="0"/>
                <w:lang w:val="zh-CN"/>
              </w:rPr>
            </w:pPr>
            <w:r>
              <w:rPr>
                <w:rFonts w:hint="eastAsia" w:ascii="宋体" w:hAnsi="宋体"/>
                <w:kern w:val="0"/>
                <w:lang w:val="zh-CN"/>
              </w:rPr>
              <w:t>企业文化</w:t>
            </w:r>
          </w:p>
        </w:tc>
        <w:tc>
          <w:tcPr>
            <w:tcW w:w="4352" w:type="dxa"/>
            <w:noWrap w:val="0"/>
            <w:vAlign w:val="top"/>
          </w:tcPr>
          <w:p w14:paraId="57BFB49F">
            <w:pPr>
              <w:spacing w:line="380" w:lineRule="exact"/>
              <w:rPr>
                <w:rFonts w:ascii="宋体" w:hAnsi="宋体"/>
                <w:kern w:val="0"/>
                <w:lang w:val="zh-CN"/>
              </w:rPr>
            </w:pPr>
            <w:r>
              <w:rPr>
                <w:rFonts w:hint="eastAsia" w:ascii="宋体" w:hAnsi="宋体"/>
                <w:kern w:val="0"/>
                <w:lang w:val="zh-CN"/>
              </w:rPr>
              <w:t>使命</w:t>
            </w:r>
          </w:p>
        </w:tc>
      </w:tr>
      <w:tr w14:paraId="29D50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2D78576A">
            <w:pPr>
              <w:spacing w:line="380" w:lineRule="exact"/>
              <w:rPr>
                <w:rFonts w:ascii="宋体" w:hAnsi="宋体"/>
                <w:kern w:val="0"/>
                <w:lang w:val="zh-CN"/>
              </w:rPr>
            </w:pPr>
          </w:p>
        </w:tc>
        <w:tc>
          <w:tcPr>
            <w:tcW w:w="2604" w:type="dxa"/>
            <w:vMerge w:val="continue"/>
            <w:noWrap w:val="0"/>
            <w:vAlign w:val="top"/>
          </w:tcPr>
          <w:p w14:paraId="2860EB3E">
            <w:pPr>
              <w:spacing w:line="380" w:lineRule="exact"/>
              <w:rPr>
                <w:rFonts w:ascii="宋体" w:hAnsi="宋体"/>
                <w:kern w:val="0"/>
                <w:lang w:val="zh-CN"/>
              </w:rPr>
            </w:pPr>
          </w:p>
        </w:tc>
        <w:tc>
          <w:tcPr>
            <w:tcW w:w="4352" w:type="dxa"/>
            <w:noWrap w:val="0"/>
            <w:vAlign w:val="top"/>
          </w:tcPr>
          <w:p w14:paraId="4981FEBA">
            <w:pPr>
              <w:spacing w:line="380" w:lineRule="exact"/>
              <w:rPr>
                <w:rFonts w:ascii="宋体" w:hAnsi="宋体"/>
                <w:kern w:val="0"/>
                <w:lang w:val="zh-CN"/>
              </w:rPr>
            </w:pPr>
            <w:r>
              <w:rPr>
                <w:rFonts w:hint="eastAsia" w:ascii="宋体" w:hAnsi="宋体"/>
                <w:kern w:val="0"/>
                <w:lang w:val="zh-CN"/>
              </w:rPr>
              <w:t>愿景</w:t>
            </w:r>
          </w:p>
        </w:tc>
      </w:tr>
      <w:tr w14:paraId="7C3C3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3B03B1B4">
            <w:pPr>
              <w:spacing w:line="380" w:lineRule="exact"/>
              <w:rPr>
                <w:rFonts w:ascii="宋体" w:hAnsi="宋体"/>
                <w:kern w:val="0"/>
                <w:lang w:val="zh-CN"/>
              </w:rPr>
            </w:pPr>
          </w:p>
        </w:tc>
        <w:tc>
          <w:tcPr>
            <w:tcW w:w="2604" w:type="dxa"/>
            <w:vMerge w:val="continue"/>
            <w:noWrap w:val="0"/>
            <w:vAlign w:val="top"/>
          </w:tcPr>
          <w:p w14:paraId="0E97C607">
            <w:pPr>
              <w:spacing w:line="380" w:lineRule="exact"/>
              <w:rPr>
                <w:rFonts w:ascii="宋体" w:hAnsi="宋体"/>
                <w:kern w:val="0"/>
                <w:lang w:val="zh-CN"/>
              </w:rPr>
            </w:pPr>
          </w:p>
        </w:tc>
        <w:tc>
          <w:tcPr>
            <w:tcW w:w="4352" w:type="dxa"/>
            <w:noWrap w:val="0"/>
            <w:vAlign w:val="top"/>
          </w:tcPr>
          <w:p w14:paraId="1D255114">
            <w:pPr>
              <w:spacing w:line="380" w:lineRule="exact"/>
              <w:rPr>
                <w:rFonts w:ascii="宋体" w:hAnsi="宋体"/>
                <w:kern w:val="0"/>
                <w:lang w:val="zh-CN"/>
              </w:rPr>
            </w:pPr>
            <w:r>
              <w:rPr>
                <w:rFonts w:hint="eastAsia" w:ascii="宋体" w:hAnsi="宋体"/>
                <w:kern w:val="0"/>
                <w:lang w:val="zh-CN"/>
              </w:rPr>
              <w:t>核心价值观</w:t>
            </w:r>
          </w:p>
        </w:tc>
      </w:tr>
      <w:tr w14:paraId="6933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5F60DAED">
            <w:pPr>
              <w:spacing w:line="380" w:lineRule="exact"/>
              <w:rPr>
                <w:rFonts w:ascii="宋体" w:hAnsi="宋体"/>
                <w:kern w:val="0"/>
                <w:lang w:val="zh-CN"/>
              </w:rPr>
            </w:pPr>
          </w:p>
        </w:tc>
        <w:tc>
          <w:tcPr>
            <w:tcW w:w="2604" w:type="dxa"/>
            <w:noWrap w:val="0"/>
            <w:vAlign w:val="top"/>
          </w:tcPr>
          <w:p w14:paraId="31A423CC">
            <w:pPr>
              <w:spacing w:line="380" w:lineRule="exact"/>
              <w:rPr>
                <w:rFonts w:ascii="宋体" w:hAnsi="宋体"/>
                <w:kern w:val="0"/>
                <w:lang w:val="zh-CN"/>
              </w:rPr>
            </w:pPr>
            <w:r>
              <w:rPr>
                <w:rFonts w:hint="eastAsia" w:ascii="宋体" w:hAnsi="宋体"/>
                <w:kern w:val="0"/>
                <w:lang w:val="zh-CN"/>
              </w:rPr>
              <w:t>战略</w:t>
            </w:r>
          </w:p>
        </w:tc>
        <w:tc>
          <w:tcPr>
            <w:tcW w:w="4352" w:type="dxa"/>
            <w:noWrap w:val="0"/>
            <w:vAlign w:val="top"/>
          </w:tcPr>
          <w:p w14:paraId="07248A6B">
            <w:pPr>
              <w:spacing w:line="380" w:lineRule="exact"/>
              <w:rPr>
                <w:rFonts w:ascii="宋体" w:hAnsi="宋体"/>
                <w:kern w:val="0"/>
                <w:lang w:val="zh-CN"/>
              </w:rPr>
            </w:pPr>
            <w:r>
              <w:rPr>
                <w:rFonts w:hint="eastAsia" w:ascii="宋体" w:hAnsi="宋体"/>
                <w:kern w:val="0"/>
                <w:lang w:val="zh-CN"/>
              </w:rPr>
              <w:t>战略规划</w:t>
            </w:r>
          </w:p>
        </w:tc>
      </w:tr>
      <w:tr w14:paraId="23E2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6F169E95">
            <w:pPr>
              <w:spacing w:line="380" w:lineRule="exact"/>
              <w:rPr>
                <w:rFonts w:ascii="宋体" w:hAnsi="宋体"/>
                <w:kern w:val="0"/>
                <w:lang w:val="zh-CN"/>
              </w:rPr>
            </w:pPr>
          </w:p>
        </w:tc>
        <w:tc>
          <w:tcPr>
            <w:tcW w:w="2604" w:type="dxa"/>
            <w:noWrap w:val="0"/>
            <w:vAlign w:val="top"/>
          </w:tcPr>
          <w:p w14:paraId="0A8BA8C1">
            <w:pPr>
              <w:spacing w:line="380" w:lineRule="exact"/>
              <w:rPr>
                <w:rFonts w:ascii="宋体" w:hAnsi="宋体"/>
                <w:kern w:val="0"/>
                <w:lang w:val="zh-CN"/>
              </w:rPr>
            </w:pPr>
            <w:r>
              <w:rPr>
                <w:rFonts w:hint="eastAsia" w:ascii="宋体" w:hAnsi="宋体"/>
                <w:kern w:val="0"/>
                <w:lang w:val="zh-CN"/>
              </w:rPr>
              <w:t>质量文化建设</w:t>
            </w:r>
          </w:p>
        </w:tc>
        <w:tc>
          <w:tcPr>
            <w:tcW w:w="4352" w:type="dxa"/>
            <w:noWrap w:val="0"/>
            <w:vAlign w:val="top"/>
          </w:tcPr>
          <w:p w14:paraId="0E6ADCAF">
            <w:pPr>
              <w:spacing w:line="380" w:lineRule="exact"/>
              <w:rPr>
                <w:rFonts w:ascii="宋体" w:hAnsi="宋体"/>
                <w:kern w:val="0"/>
                <w:lang w:val="zh-CN"/>
              </w:rPr>
            </w:pPr>
          </w:p>
        </w:tc>
      </w:tr>
      <w:tr w14:paraId="019D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1232" w:type="dxa"/>
            <w:vMerge w:val="continue"/>
            <w:noWrap w:val="0"/>
            <w:vAlign w:val="top"/>
          </w:tcPr>
          <w:p w14:paraId="71B7D6D7">
            <w:pPr>
              <w:spacing w:line="380" w:lineRule="exact"/>
              <w:rPr>
                <w:rFonts w:ascii="宋体" w:hAnsi="宋体"/>
                <w:kern w:val="0"/>
                <w:lang w:val="zh-CN"/>
              </w:rPr>
            </w:pPr>
          </w:p>
        </w:tc>
        <w:tc>
          <w:tcPr>
            <w:tcW w:w="2604" w:type="dxa"/>
            <w:noWrap w:val="0"/>
            <w:vAlign w:val="top"/>
          </w:tcPr>
          <w:p w14:paraId="0D37B7FD">
            <w:pPr>
              <w:spacing w:line="380" w:lineRule="exact"/>
              <w:rPr>
                <w:rFonts w:ascii="宋体" w:hAnsi="宋体"/>
                <w:kern w:val="0"/>
                <w:lang w:val="zh-CN"/>
              </w:rPr>
            </w:pPr>
            <w:r>
              <w:rPr>
                <w:rFonts w:hint="eastAsia" w:ascii="宋体" w:hAnsi="宋体"/>
                <w:kern w:val="0"/>
                <w:lang w:val="zh-CN"/>
              </w:rPr>
              <w:t>法人治理结构</w:t>
            </w:r>
          </w:p>
        </w:tc>
        <w:tc>
          <w:tcPr>
            <w:tcW w:w="4352" w:type="dxa"/>
            <w:noWrap w:val="0"/>
            <w:vAlign w:val="top"/>
          </w:tcPr>
          <w:p w14:paraId="744BF499">
            <w:pPr>
              <w:spacing w:line="380" w:lineRule="exact"/>
              <w:rPr>
                <w:rFonts w:ascii="宋体" w:hAnsi="宋体"/>
                <w:kern w:val="0"/>
                <w:lang w:val="zh-CN"/>
              </w:rPr>
            </w:pPr>
            <w:r>
              <w:rPr>
                <w:rFonts w:hint="eastAsia" w:ascii="宋体" w:hAnsi="宋体"/>
                <w:kern w:val="0"/>
                <w:lang w:val="zh-CN"/>
              </w:rPr>
              <w:t>上级机关</w:t>
            </w:r>
          </w:p>
        </w:tc>
      </w:tr>
      <w:tr w14:paraId="4AB66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2DF7C6B4">
            <w:pPr>
              <w:spacing w:line="380" w:lineRule="exact"/>
              <w:rPr>
                <w:rFonts w:ascii="宋体" w:hAnsi="宋体"/>
                <w:kern w:val="0"/>
                <w:lang w:val="zh-CN"/>
              </w:rPr>
            </w:pPr>
          </w:p>
        </w:tc>
        <w:tc>
          <w:tcPr>
            <w:tcW w:w="2604" w:type="dxa"/>
            <w:noWrap w:val="0"/>
            <w:vAlign w:val="top"/>
          </w:tcPr>
          <w:p w14:paraId="4F2C8107">
            <w:pPr>
              <w:spacing w:line="380" w:lineRule="exact"/>
              <w:rPr>
                <w:rFonts w:ascii="宋体" w:hAnsi="宋体"/>
                <w:kern w:val="0"/>
                <w:lang w:val="zh-CN"/>
              </w:rPr>
            </w:pPr>
            <w:r>
              <w:rPr>
                <w:rFonts w:hint="eastAsia" w:ascii="宋体" w:hAnsi="宋体"/>
                <w:kern w:val="0"/>
                <w:lang w:val="zh-CN"/>
              </w:rPr>
              <w:t>组织机构设置和职责分工</w:t>
            </w:r>
          </w:p>
        </w:tc>
        <w:tc>
          <w:tcPr>
            <w:tcW w:w="4352" w:type="dxa"/>
            <w:noWrap w:val="0"/>
            <w:vAlign w:val="top"/>
          </w:tcPr>
          <w:p w14:paraId="7CD746B5">
            <w:pPr>
              <w:spacing w:line="380" w:lineRule="exact"/>
              <w:rPr>
                <w:rFonts w:ascii="宋体" w:hAnsi="宋体"/>
                <w:kern w:val="0"/>
                <w:lang w:val="zh-CN"/>
              </w:rPr>
            </w:pPr>
          </w:p>
        </w:tc>
      </w:tr>
      <w:tr w14:paraId="45BB0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5394A6E1">
            <w:pPr>
              <w:spacing w:line="380" w:lineRule="exact"/>
              <w:rPr>
                <w:rFonts w:ascii="宋体" w:hAnsi="宋体"/>
                <w:kern w:val="0"/>
                <w:lang w:val="zh-CN"/>
              </w:rPr>
            </w:pPr>
          </w:p>
        </w:tc>
        <w:tc>
          <w:tcPr>
            <w:tcW w:w="2604" w:type="dxa"/>
            <w:noWrap w:val="0"/>
            <w:vAlign w:val="top"/>
          </w:tcPr>
          <w:p w14:paraId="63404B0D">
            <w:pPr>
              <w:spacing w:line="380" w:lineRule="exact"/>
              <w:rPr>
                <w:rFonts w:ascii="宋体" w:hAnsi="宋体"/>
                <w:kern w:val="0"/>
                <w:lang w:val="zh-CN"/>
              </w:rPr>
            </w:pPr>
            <w:r>
              <w:rPr>
                <w:rFonts w:hint="eastAsia" w:ascii="宋体" w:hAnsi="宋体"/>
                <w:kern w:val="0"/>
                <w:lang w:val="zh-CN"/>
              </w:rPr>
              <w:t>人力资源管理</w:t>
            </w:r>
          </w:p>
        </w:tc>
        <w:tc>
          <w:tcPr>
            <w:tcW w:w="4352" w:type="dxa"/>
            <w:noWrap w:val="0"/>
            <w:vAlign w:val="top"/>
          </w:tcPr>
          <w:p w14:paraId="1EAD17A4">
            <w:pPr>
              <w:spacing w:line="380" w:lineRule="exact"/>
              <w:rPr>
                <w:rFonts w:ascii="宋体" w:hAnsi="宋体"/>
                <w:kern w:val="0"/>
                <w:lang w:val="zh-CN"/>
              </w:rPr>
            </w:pPr>
          </w:p>
        </w:tc>
      </w:tr>
      <w:tr w14:paraId="46C03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189E9797">
            <w:pPr>
              <w:spacing w:line="380" w:lineRule="exact"/>
              <w:rPr>
                <w:rFonts w:ascii="宋体" w:hAnsi="宋体"/>
                <w:kern w:val="0"/>
                <w:lang w:val="zh-CN"/>
              </w:rPr>
            </w:pPr>
          </w:p>
        </w:tc>
        <w:tc>
          <w:tcPr>
            <w:tcW w:w="2604" w:type="dxa"/>
            <w:noWrap w:val="0"/>
            <w:vAlign w:val="top"/>
          </w:tcPr>
          <w:p w14:paraId="0D3C590C">
            <w:pPr>
              <w:spacing w:line="380" w:lineRule="exact"/>
              <w:rPr>
                <w:rFonts w:ascii="宋体" w:hAnsi="宋体"/>
                <w:kern w:val="0"/>
                <w:lang w:val="zh-CN"/>
              </w:rPr>
            </w:pPr>
            <w:r>
              <w:rPr>
                <w:rFonts w:hint="eastAsia" w:ascii="宋体" w:hAnsi="宋体"/>
                <w:kern w:val="0"/>
                <w:lang w:val="zh-CN"/>
              </w:rPr>
              <w:t>基础设施设备能力</w:t>
            </w:r>
          </w:p>
        </w:tc>
        <w:tc>
          <w:tcPr>
            <w:tcW w:w="4352" w:type="dxa"/>
            <w:noWrap w:val="0"/>
            <w:vAlign w:val="top"/>
          </w:tcPr>
          <w:p w14:paraId="6338F4C8">
            <w:pPr>
              <w:spacing w:line="380" w:lineRule="exact"/>
              <w:rPr>
                <w:rFonts w:ascii="宋体" w:hAnsi="宋体"/>
                <w:kern w:val="0"/>
                <w:lang w:val="zh-CN"/>
              </w:rPr>
            </w:pPr>
          </w:p>
        </w:tc>
      </w:tr>
      <w:tr w14:paraId="76E0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55F8554D">
            <w:pPr>
              <w:spacing w:line="380" w:lineRule="exact"/>
              <w:rPr>
                <w:rFonts w:ascii="宋体" w:hAnsi="宋体"/>
                <w:kern w:val="0"/>
                <w:lang w:val="zh-CN"/>
              </w:rPr>
            </w:pPr>
          </w:p>
        </w:tc>
        <w:tc>
          <w:tcPr>
            <w:tcW w:w="2604" w:type="dxa"/>
            <w:vMerge w:val="restart"/>
            <w:noWrap w:val="0"/>
            <w:vAlign w:val="top"/>
          </w:tcPr>
          <w:p w14:paraId="27AA0786">
            <w:pPr>
              <w:spacing w:line="380" w:lineRule="exact"/>
              <w:rPr>
                <w:rFonts w:ascii="宋体" w:hAnsi="宋体"/>
                <w:kern w:val="0"/>
                <w:lang w:val="zh-CN"/>
              </w:rPr>
            </w:pPr>
            <w:r>
              <w:rPr>
                <w:rFonts w:hint="eastAsia" w:ascii="宋体" w:hAnsi="宋体"/>
                <w:kern w:val="0"/>
                <w:lang w:val="zh-CN"/>
              </w:rPr>
              <w:t>技术基础能力</w:t>
            </w:r>
          </w:p>
        </w:tc>
        <w:tc>
          <w:tcPr>
            <w:tcW w:w="4352" w:type="dxa"/>
            <w:noWrap w:val="0"/>
            <w:vAlign w:val="top"/>
          </w:tcPr>
          <w:p w14:paraId="112CD1CB">
            <w:pPr>
              <w:spacing w:line="380" w:lineRule="exact"/>
              <w:rPr>
                <w:rFonts w:ascii="宋体" w:hAnsi="宋体"/>
                <w:kern w:val="0"/>
                <w:lang w:val="zh-CN"/>
              </w:rPr>
            </w:pPr>
            <w:r>
              <w:rPr>
                <w:rFonts w:hint="eastAsia" w:ascii="宋体" w:hAnsi="宋体"/>
                <w:kern w:val="0"/>
                <w:lang w:val="zh-CN"/>
              </w:rPr>
              <w:t>科研成果</w:t>
            </w:r>
          </w:p>
        </w:tc>
      </w:tr>
      <w:tr w14:paraId="5C79A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22B785BC">
            <w:pPr>
              <w:spacing w:line="380" w:lineRule="exact"/>
              <w:rPr>
                <w:rFonts w:ascii="宋体" w:hAnsi="宋体"/>
                <w:kern w:val="0"/>
                <w:lang w:val="zh-CN"/>
              </w:rPr>
            </w:pPr>
          </w:p>
        </w:tc>
        <w:tc>
          <w:tcPr>
            <w:tcW w:w="2604" w:type="dxa"/>
            <w:vMerge w:val="continue"/>
            <w:noWrap w:val="0"/>
            <w:vAlign w:val="top"/>
          </w:tcPr>
          <w:p w14:paraId="0F19C05A">
            <w:pPr>
              <w:spacing w:line="380" w:lineRule="exact"/>
              <w:rPr>
                <w:rFonts w:ascii="宋体" w:hAnsi="宋体"/>
                <w:kern w:val="0"/>
                <w:lang w:val="zh-CN"/>
              </w:rPr>
            </w:pPr>
          </w:p>
        </w:tc>
        <w:tc>
          <w:tcPr>
            <w:tcW w:w="4352" w:type="dxa"/>
            <w:noWrap w:val="0"/>
            <w:vAlign w:val="top"/>
          </w:tcPr>
          <w:p w14:paraId="08988220">
            <w:pPr>
              <w:spacing w:line="380" w:lineRule="exact"/>
              <w:rPr>
                <w:rFonts w:ascii="宋体" w:hAnsi="宋体"/>
                <w:kern w:val="0"/>
                <w:lang w:val="zh-CN"/>
              </w:rPr>
            </w:pPr>
            <w:r>
              <w:rPr>
                <w:rFonts w:hint="eastAsia" w:ascii="宋体" w:hAnsi="宋体"/>
                <w:kern w:val="0"/>
                <w:lang w:val="zh-CN"/>
              </w:rPr>
              <w:t>专利</w:t>
            </w:r>
          </w:p>
        </w:tc>
      </w:tr>
      <w:tr w14:paraId="2524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01402CD0">
            <w:pPr>
              <w:spacing w:line="380" w:lineRule="exact"/>
              <w:rPr>
                <w:rFonts w:ascii="宋体" w:hAnsi="宋体"/>
                <w:kern w:val="0"/>
                <w:lang w:val="zh-CN"/>
              </w:rPr>
            </w:pPr>
          </w:p>
        </w:tc>
        <w:tc>
          <w:tcPr>
            <w:tcW w:w="2604" w:type="dxa"/>
            <w:vMerge w:val="continue"/>
            <w:noWrap w:val="0"/>
            <w:vAlign w:val="top"/>
          </w:tcPr>
          <w:p w14:paraId="4AB77564">
            <w:pPr>
              <w:spacing w:line="380" w:lineRule="exact"/>
              <w:rPr>
                <w:rFonts w:ascii="宋体" w:hAnsi="宋体"/>
                <w:kern w:val="0"/>
                <w:lang w:val="zh-CN"/>
              </w:rPr>
            </w:pPr>
          </w:p>
        </w:tc>
        <w:tc>
          <w:tcPr>
            <w:tcW w:w="4352" w:type="dxa"/>
            <w:noWrap w:val="0"/>
            <w:vAlign w:val="top"/>
          </w:tcPr>
          <w:p w14:paraId="3759D89D">
            <w:pPr>
              <w:spacing w:line="380" w:lineRule="exact"/>
              <w:rPr>
                <w:rFonts w:ascii="宋体" w:hAnsi="宋体"/>
                <w:kern w:val="0"/>
                <w:lang w:val="zh-CN"/>
              </w:rPr>
            </w:pPr>
            <w:r>
              <w:rPr>
                <w:rFonts w:hint="eastAsia" w:ascii="宋体" w:hAnsi="宋体"/>
                <w:kern w:val="0"/>
                <w:lang w:val="zh-CN"/>
              </w:rPr>
              <w:t>知识管理</w:t>
            </w:r>
          </w:p>
        </w:tc>
      </w:tr>
    </w:tbl>
    <w:p w14:paraId="3B2D6BAF">
      <w:pPr>
        <w:rPr>
          <w:rFonts w:hint="eastAsia"/>
        </w:rPr>
      </w:pPr>
    </w:p>
    <w:p w14:paraId="750BCE3A">
      <w:pPr>
        <w:spacing w:line="480" w:lineRule="exact"/>
        <w:rPr>
          <w:rFonts w:hint="eastAsia" w:ascii="宋体" w:hAnsi="宋体"/>
          <w:szCs w:val="24"/>
        </w:rPr>
      </w:pPr>
      <w:r>
        <w:rPr>
          <w:rFonts w:hint="eastAsia" w:ascii="宋体" w:hAnsi="宋体"/>
          <w:szCs w:val="24"/>
        </w:rPr>
        <w:t>4.1.3根据不同的内外部环境因素，制定不同的监视和评审的周期，公司管理层对公司内外部环境控制措施进行监视与评审，并记录相应监视与评审结果；</w:t>
      </w:r>
    </w:p>
    <w:p w14:paraId="456E13EF">
      <w:pPr>
        <w:spacing w:line="480" w:lineRule="exact"/>
        <w:rPr>
          <w:rFonts w:hint="eastAsia" w:ascii="宋体" w:hAnsi="宋体"/>
          <w:szCs w:val="24"/>
        </w:rPr>
      </w:pPr>
      <w:r>
        <w:rPr>
          <w:rFonts w:hint="eastAsia" w:ascii="宋体" w:hAnsi="宋体"/>
          <w:szCs w:val="24"/>
        </w:rPr>
        <w:t>4.1.4在公司大环境发生重大变化或公司总经理有要求时，由管理者代表组织各部门人员随时对内外部因素进行识别并采取措施，对控制措施有效性进行评审。</w:t>
      </w:r>
    </w:p>
    <w:p w14:paraId="5C91CFE2">
      <w:pPr>
        <w:spacing w:line="480" w:lineRule="exact"/>
        <w:rPr>
          <w:rFonts w:hint="eastAsia" w:ascii="宋体" w:hAnsi="宋体"/>
          <w:szCs w:val="24"/>
          <w:highlight w:val="none"/>
        </w:rPr>
      </w:pPr>
      <w:r>
        <w:rPr>
          <w:rFonts w:hint="eastAsia" w:ascii="宋体" w:hAnsi="宋体"/>
          <w:szCs w:val="24"/>
          <w:highlight w:val="none"/>
        </w:rPr>
        <w:t>4.1.5对武器装备有特殊要求的，根据承担装备任务及时识别相关的法律法规、标准、使用需求、保障条件等影响因素，对公司内外部环境进行识别、确定、监视和评审。</w:t>
      </w:r>
    </w:p>
    <w:p w14:paraId="04B61AF5">
      <w:pPr>
        <w:spacing w:line="480" w:lineRule="exact"/>
        <w:rPr>
          <w:rFonts w:hint="eastAsia" w:ascii="宋体"/>
          <w:bCs/>
          <w:sz w:val="24"/>
          <w:highlight w:val="none"/>
        </w:rPr>
      </w:pPr>
      <w:r>
        <w:rPr>
          <w:rFonts w:hint="eastAsia" w:ascii="宋体" w:hAnsi="宋体"/>
          <w:szCs w:val="24"/>
          <w:highlight w:val="none"/>
        </w:rPr>
        <w:t>4.1.6</w:t>
      </w:r>
      <w:r>
        <w:rPr>
          <w:rFonts w:hint="eastAsia" w:ascii="宋体" w:hAnsi="宋体"/>
          <w:szCs w:val="24"/>
          <w:highlight w:val="none"/>
          <w:lang w:eastAsia="zh-CN"/>
        </w:rPr>
        <w:t>管理者代表每年在管理评审前组织一次全面的内外部环境因素识别与评审。另外各部门在获得内外部环境要素信息变化时，应及时告知管理者代表，由管理者代表对《内外部环境识别表》进行修订</w:t>
      </w:r>
      <w:r>
        <w:rPr>
          <w:rFonts w:hint="eastAsia" w:ascii="宋体"/>
          <w:bCs/>
          <w:sz w:val="24"/>
          <w:highlight w:val="none"/>
        </w:rPr>
        <w:t>。</w:t>
      </w:r>
    </w:p>
    <w:p w14:paraId="703FA84F">
      <w:pPr>
        <w:spacing w:line="480" w:lineRule="exact"/>
        <w:rPr>
          <w:rFonts w:hint="eastAsia" w:ascii="宋体" w:hAnsi="宋体"/>
          <w:szCs w:val="24"/>
          <w:highlight w:val="none"/>
          <w:lang w:val="en-US" w:eastAsia="zh-CN"/>
        </w:rPr>
      </w:pPr>
      <w:r>
        <w:rPr>
          <w:rFonts w:hint="eastAsia" w:ascii="宋体"/>
          <w:bCs/>
          <w:sz w:val="24"/>
          <w:szCs w:val="24"/>
          <w:highlight w:val="none"/>
          <w:lang w:val="en-US" w:eastAsia="zh-CN"/>
        </w:rPr>
        <w:t>4.1.7</w:t>
      </w:r>
      <w:r>
        <w:rPr>
          <w:rFonts w:hint="eastAsia" w:ascii="宋体" w:hAnsi="宋体"/>
          <w:szCs w:val="24"/>
          <w:highlight w:val="none"/>
          <w:lang w:val="en-US" w:eastAsia="zh-CN"/>
        </w:rPr>
        <w:t>监视的方法应通过多种方式收集信息（如工作会议、网络、水平对比、评审等）确定与质量管理体系有关的组织环境。</w:t>
      </w:r>
    </w:p>
    <w:p w14:paraId="348CB350">
      <w:pPr>
        <w:spacing w:line="480" w:lineRule="exact"/>
        <w:rPr>
          <w:rFonts w:hint="eastAsia"/>
          <w:highlight w:val="none"/>
          <w:lang w:val="en-US" w:eastAsia="zh-CN"/>
        </w:rPr>
      </w:pPr>
      <w:r>
        <w:rPr>
          <w:rFonts w:hint="eastAsia"/>
          <w:highlight w:val="none"/>
          <w:lang w:val="en-US" w:eastAsia="zh-CN"/>
        </w:rPr>
        <w:t>4.1.8每次管理评审前对识别的相关方进行评审，并形成组织内外部环境和相关方的需求和期望形成报告，作为管理评审的输入资料。</w:t>
      </w:r>
    </w:p>
    <w:p w14:paraId="0793AAE6">
      <w:pPr>
        <w:spacing w:line="480" w:lineRule="exact"/>
        <w:rPr>
          <w:rFonts w:hint="default"/>
          <w:highlight w:val="none"/>
          <w:lang w:val="en-US" w:eastAsia="zh-CN"/>
        </w:rPr>
      </w:pPr>
      <w:r>
        <w:rPr>
          <w:rFonts w:hint="eastAsia"/>
          <w:highlight w:val="none"/>
          <w:lang w:val="en-US" w:eastAsia="zh-CN"/>
        </w:rPr>
        <w:t>4.1.9</w:t>
      </w:r>
      <w:r>
        <w:rPr>
          <w:rFonts w:hint="eastAsia" w:ascii="宋体" w:hAnsi="宋体"/>
          <w:szCs w:val="24"/>
          <w:highlight w:val="none"/>
        </w:rPr>
        <w:t>公司环境因素识别、确定、监视和评审等按</w:t>
      </w:r>
      <w:r>
        <w:rPr>
          <w:rFonts w:hint="eastAsia" w:ascii="宋体" w:hAnsi="宋体"/>
          <w:szCs w:val="24"/>
          <w:highlight w:val="yellow"/>
        </w:rPr>
        <w:t>《组织环境与相关方要求控制程序》</w:t>
      </w:r>
      <w:r>
        <w:rPr>
          <w:rFonts w:hint="eastAsia" w:ascii="宋体" w:hAnsi="宋体"/>
          <w:szCs w:val="24"/>
          <w:highlight w:val="none"/>
        </w:rPr>
        <w:t>进行控制。</w:t>
      </w:r>
    </w:p>
    <w:bookmarkEnd w:id="36"/>
    <w:p w14:paraId="5CC03CB9">
      <w:pPr>
        <w:pStyle w:val="3"/>
        <w:rPr>
          <w:rFonts w:hint="eastAsia"/>
          <w:highlight w:val="none"/>
        </w:rPr>
      </w:pPr>
      <w:bookmarkStart w:id="37" w:name="_Toc12532"/>
      <w:r>
        <w:rPr>
          <w:rFonts w:hint="eastAsia"/>
          <w:highlight w:val="none"/>
        </w:rPr>
        <w:t>4.2  理解相关方的需求和期望</w:t>
      </w:r>
      <w:bookmarkEnd w:id="37"/>
    </w:p>
    <w:p w14:paraId="5C1DC45B">
      <w:r>
        <w:rPr>
          <w:rFonts w:hint="eastAsia"/>
          <w:highlight w:val="none"/>
        </w:rPr>
        <w:t>4.2.1由于相关方对本公司稳定提供</w:t>
      </w:r>
      <w:r>
        <w:rPr>
          <w:rFonts w:hint="eastAsia"/>
        </w:rPr>
        <w:t>符合顾客要求和适用法律法规要求的产品和服务的能力产生影响或潜在影响，因此，识别并确定与质量管理体系有关的相关方分类：</w:t>
      </w:r>
    </w:p>
    <w:p w14:paraId="665868D4">
      <w:r>
        <w:rPr>
          <w:rFonts w:hint="eastAsia"/>
        </w:rPr>
        <w:t>4.2.1.1主要顾客</w:t>
      </w:r>
    </w:p>
    <w:p w14:paraId="17AA69C1">
      <w:r>
        <w:rPr>
          <w:rFonts w:hint="eastAsia"/>
        </w:rPr>
        <w:t>军内单位</w:t>
      </w:r>
      <w:r>
        <w:rPr>
          <w:rFonts w:hint="eastAsia"/>
          <w:highlight w:val="yellow"/>
        </w:rPr>
        <w:t>：军委装备发展部机关、军兵种装备部机关、军兵种项目项目管理机构、军代表局（室）、最终用户使用部队、保障基地；</w:t>
      </w:r>
    </w:p>
    <w:p w14:paraId="548E105B">
      <w:pPr>
        <w:rPr>
          <w:rFonts w:hint="eastAsia"/>
        </w:rPr>
      </w:pPr>
      <w:r>
        <w:rPr>
          <w:rFonts w:hint="eastAsia"/>
        </w:rPr>
        <w:t>其他单位：</w:t>
      </w:r>
      <w:r>
        <w:rPr>
          <w:rFonts w:hint="eastAsia"/>
          <w:highlight w:val="yellow"/>
        </w:rPr>
        <w:t>总装厂、总体所、代理商（军贸产品）、其他任务下达单位。</w:t>
      </w:r>
    </w:p>
    <w:p w14:paraId="39A5C99D">
      <w:pPr>
        <w:rPr>
          <w:highlight w:val="yellow"/>
        </w:rPr>
      </w:pPr>
      <w:r>
        <w:rPr>
          <w:rFonts w:hint="eastAsia"/>
        </w:rPr>
        <w:t>其他顾客：</w:t>
      </w:r>
      <w:r>
        <w:rPr>
          <w:rFonts w:hint="eastAsia"/>
          <w:highlight w:val="yellow"/>
        </w:rPr>
        <w:t>民品顾客</w:t>
      </w:r>
    </w:p>
    <w:p w14:paraId="7200FC35">
      <w:r>
        <w:rPr>
          <w:rFonts w:hint="eastAsia"/>
        </w:rPr>
        <w:t>4.2.1.2供应商（外部供方）</w:t>
      </w:r>
    </w:p>
    <w:p w14:paraId="0875A788">
      <w:r>
        <w:rPr>
          <w:rFonts w:hint="eastAsia"/>
        </w:rPr>
        <w:t>各类供应商及其产品是公司研制、生产满足顾客要求的产品的重要组成部分。供应商包括以下几类：</w:t>
      </w:r>
    </w:p>
    <w:p w14:paraId="53B63D08">
      <w:pPr>
        <w:rPr>
          <w:highlight w:val="yellow"/>
        </w:rPr>
      </w:pPr>
      <w:r>
        <w:rPr>
          <w:rFonts w:hint="eastAsia"/>
          <w:highlight w:val="yellow"/>
        </w:rPr>
        <w:t>元器件、原材料生产商</w:t>
      </w:r>
    </w:p>
    <w:p w14:paraId="1CEBBD8E">
      <w:pPr>
        <w:rPr>
          <w:highlight w:val="yellow"/>
        </w:rPr>
      </w:pPr>
      <w:r>
        <w:rPr>
          <w:rFonts w:hint="eastAsia"/>
          <w:highlight w:val="yellow"/>
        </w:rPr>
        <w:t>元器件、原材料代理商</w:t>
      </w:r>
    </w:p>
    <w:p w14:paraId="0D162AEF">
      <w:pPr>
        <w:rPr>
          <w:highlight w:val="yellow"/>
        </w:rPr>
      </w:pPr>
      <w:r>
        <w:rPr>
          <w:rFonts w:hint="eastAsia"/>
          <w:highlight w:val="yellow"/>
        </w:rPr>
        <w:t>配套产品供应商</w:t>
      </w:r>
    </w:p>
    <w:p w14:paraId="3AE2CAA2">
      <w:pPr>
        <w:rPr>
          <w:highlight w:val="yellow"/>
        </w:rPr>
      </w:pPr>
      <w:r>
        <w:rPr>
          <w:rFonts w:hint="eastAsia"/>
          <w:highlight w:val="yellow"/>
        </w:rPr>
        <w:t>联合研制合作伙伴</w:t>
      </w:r>
    </w:p>
    <w:p w14:paraId="57438215">
      <w:pPr>
        <w:rPr>
          <w:highlight w:val="yellow"/>
        </w:rPr>
      </w:pPr>
      <w:r>
        <w:rPr>
          <w:rFonts w:hint="eastAsia"/>
          <w:highlight w:val="yellow"/>
        </w:rPr>
        <w:t>外协供应方</w:t>
      </w:r>
    </w:p>
    <w:p w14:paraId="4B418FAC">
      <w:r>
        <w:rPr>
          <w:rFonts w:hint="eastAsia"/>
        </w:rPr>
        <w:t>4.2.1.3行业竞争对手和合作伙伴</w:t>
      </w:r>
    </w:p>
    <w:p w14:paraId="149C3BD6">
      <w:pPr>
        <w:rPr>
          <w:rFonts w:hint="eastAsia"/>
        </w:rPr>
      </w:pPr>
      <w:r>
        <w:rPr>
          <w:rFonts w:hint="eastAsia"/>
        </w:rPr>
        <w:t>4.2.1.4政府组织</w:t>
      </w:r>
    </w:p>
    <w:p w14:paraId="716AAB87">
      <w:pPr>
        <w:rPr>
          <w:highlight w:val="yellow"/>
        </w:rPr>
      </w:pPr>
      <w:r>
        <w:rPr>
          <w:rFonts w:hint="eastAsia"/>
          <w:highlight w:val="yellow"/>
        </w:rPr>
        <w:t>国防科技工业局</w:t>
      </w:r>
    </w:p>
    <w:p w14:paraId="3C5BEC3A">
      <w:pPr>
        <w:rPr>
          <w:rFonts w:hint="eastAsia"/>
          <w:highlight w:val="yellow"/>
        </w:rPr>
      </w:pPr>
      <w:r>
        <w:rPr>
          <w:rFonts w:hint="eastAsia"/>
          <w:highlight w:val="yellow"/>
        </w:rPr>
        <w:t>地方政府</w:t>
      </w:r>
    </w:p>
    <w:p w14:paraId="28D14037">
      <w:pPr>
        <w:rPr>
          <w:highlight w:val="yellow"/>
        </w:rPr>
      </w:pPr>
      <w:r>
        <w:rPr>
          <w:rFonts w:hint="eastAsia"/>
          <w:highlight w:val="yellow"/>
        </w:rPr>
        <w:t>各级监督监察机构</w:t>
      </w:r>
    </w:p>
    <w:p w14:paraId="74FBC734">
      <w:r>
        <w:rPr>
          <w:rFonts w:hint="eastAsia"/>
        </w:rPr>
        <w:t>4.2.1.5企业所有者、员工</w:t>
      </w:r>
    </w:p>
    <w:p w14:paraId="08619015">
      <w:r>
        <w:rPr>
          <w:rFonts w:hint="eastAsia"/>
        </w:rPr>
        <w:t>4.2.1.6银行</w:t>
      </w:r>
    </w:p>
    <w:p w14:paraId="5610C25E">
      <w:pPr>
        <w:rPr>
          <w:rFonts w:hint="eastAsia"/>
          <w:highlight w:val="none"/>
        </w:rPr>
      </w:pPr>
      <w:r>
        <w:rPr>
          <w:rFonts w:hint="eastAsia"/>
        </w:rPr>
        <w:t>4.2.1.</w:t>
      </w:r>
      <w:r>
        <w:rPr>
          <w:rFonts w:hint="eastAsia"/>
          <w:highlight w:val="none"/>
        </w:rPr>
        <w:t>7 独立的第三方认可、检验检测机构</w:t>
      </w:r>
    </w:p>
    <w:p w14:paraId="7BCEC533">
      <w:pPr>
        <w:rPr>
          <w:highlight w:val="none"/>
        </w:rPr>
      </w:pPr>
      <w:r>
        <w:rPr>
          <w:rFonts w:hint="eastAsia"/>
          <w:highlight w:val="none"/>
        </w:rPr>
        <w:t>4.2.1</w:t>
      </w:r>
      <w:r>
        <w:rPr>
          <w:rFonts w:hint="eastAsia"/>
          <w:highlight w:val="none"/>
          <w:lang w:val="en-US" w:eastAsia="zh-CN"/>
        </w:rPr>
        <w:t>.</w:t>
      </w:r>
      <w:r>
        <w:rPr>
          <w:rFonts w:hint="eastAsia"/>
          <w:highlight w:val="none"/>
        </w:rPr>
        <w:t>8居民、社区</w:t>
      </w:r>
    </w:p>
    <w:p w14:paraId="546DB4E3">
      <w:pPr>
        <w:rPr>
          <w:rFonts w:hint="eastAsia"/>
          <w:bCs/>
          <w:highlight w:val="none"/>
        </w:rPr>
      </w:pPr>
      <w:r>
        <w:rPr>
          <w:rFonts w:hint="eastAsia"/>
          <w:bCs/>
          <w:highlight w:val="none"/>
        </w:rPr>
        <w:t>4.2.2公司通过产品和服务要求的确定和评审、员工绩效考核、供方业绩考核与合格供方评价、合作伙伴业绩评价等活动，适时进行监视和评审这些相关方的信息及其相关要求。</w:t>
      </w:r>
    </w:p>
    <w:p w14:paraId="1AD1D0C1">
      <w:pPr>
        <w:rPr>
          <w:rFonts w:hint="eastAsia"/>
          <w:highlight w:val="none"/>
          <w:lang w:eastAsia="zh-CN"/>
        </w:rPr>
      </w:pPr>
      <w:r>
        <w:rPr>
          <w:rFonts w:hint="eastAsia"/>
          <w:highlight w:val="none"/>
        </w:rPr>
        <w:t>4.2.3</w:t>
      </w:r>
      <w:r>
        <w:rPr>
          <w:rFonts w:hint="eastAsia"/>
          <w:highlight w:val="none"/>
          <w:lang w:eastAsia="zh-CN"/>
        </w:rPr>
        <w:t>各部门将识别结果登记在《相关方期望或要求识别表》上，</w:t>
      </w:r>
      <w:r>
        <w:rPr>
          <w:rFonts w:hint="eastAsia"/>
          <w:highlight w:val="none"/>
          <w:lang w:val="en-US" w:eastAsia="zh-CN"/>
        </w:rPr>
        <w:t>特别识别出承担武器任务组织的相关方。</w:t>
      </w:r>
      <w:r>
        <w:rPr>
          <w:rFonts w:hint="eastAsia"/>
          <w:highlight w:val="none"/>
          <w:lang w:eastAsia="zh-CN"/>
        </w:rPr>
        <w:t>填写应对措施、监视方法、监视部门。 提交给管理者代表进行汇总整理。</w:t>
      </w:r>
    </w:p>
    <w:p w14:paraId="535B4BD4">
      <w:pPr>
        <w:rPr>
          <w:rFonts w:hint="eastAsia"/>
          <w:highlight w:val="none"/>
          <w:lang w:val="en-US" w:eastAsia="zh-CN"/>
        </w:rPr>
      </w:pPr>
      <w:r>
        <w:rPr>
          <w:rFonts w:hint="eastAsia"/>
          <w:highlight w:val="none"/>
          <w:lang w:val="en-US" w:eastAsia="zh-CN"/>
        </w:rPr>
        <w:t>4.2.3管理者代表每年在管理评审前组织一次全面的内外部相关方的识别。</w:t>
      </w:r>
    </w:p>
    <w:p w14:paraId="3512B769">
      <w:pPr>
        <w:spacing w:line="480" w:lineRule="exact"/>
        <w:rPr>
          <w:rFonts w:hint="default"/>
          <w:highlight w:val="none"/>
          <w:lang w:val="en-US" w:eastAsia="zh-CN"/>
        </w:rPr>
      </w:pPr>
      <w:r>
        <w:rPr>
          <w:rFonts w:hint="eastAsia"/>
          <w:highlight w:val="none"/>
          <w:lang w:val="en-US" w:eastAsia="zh-CN"/>
        </w:rPr>
        <w:t>4.2.4</w:t>
      </w:r>
      <w:r>
        <w:rPr>
          <w:rFonts w:hint="eastAsia" w:ascii="宋体" w:hAnsi="宋体"/>
          <w:szCs w:val="24"/>
          <w:highlight w:val="none"/>
          <w:lang w:val="en-US" w:eastAsia="zh-CN"/>
        </w:rPr>
        <w:t>监视的方法应通过多种方式收集信息（如工作会议、网络、水平对比、评审等）确定与质量管理体系有关的相关方。</w:t>
      </w:r>
    </w:p>
    <w:p w14:paraId="050C3572">
      <w:pPr>
        <w:rPr>
          <w:rFonts w:hint="eastAsia"/>
          <w:highlight w:val="none"/>
          <w:lang w:val="en-US" w:eastAsia="zh-CN"/>
        </w:rPr>
      </w:pPr>
      <w:r>
        <w:rPr>
          <w:rFonts w:hint="eastAsia"/>
          <w:highlight w:val="none"/>
          <w:lang w:val="en-US" w:eastAsia="zh-CN"/>
        </w:rPr>
        <w:t>4.2.5每次管理评审前对识别的相关方进行评审，并形成组织内外部环境和相关方的需求和期望形成报告，作为管理评审的输入资料。</w:t>
      </w:r>
    </w:p>
    <w:p w14:paraId="57ABD678">
      <w:pPr>
        <w:rPr>
          <w:highlight w:val="none"/>
        </w:rPr>
      </w:pPr>
      <w:r>
        <w:rPr>
          <w:rFonts w:hint="eastAsia"/>
          <w:highlight w:val="none"/>
          <w:lang w:val="en-US" w:eastAsia="zh-CN"/>
        </w:rPr>
        <w:t>4.2.6</w:t>
      </w:r>
      <w:r>
        <w:rPr>
          <w:rFonts w:hint="eastAsia"/>
          <w:highlight w:val="none"/>
        </w:rPr>
        <w:t>公司相关方及需求和期望识别、确定、监视和评审等按</w:t>
      </w:r>
      <w:r>
        <w:rPr>
          <w:rFonts w:hint="eastAsia"/>
          <w:highlight w:val="yellow"/>
        </w:rPr>
        <w:t>《组织环境与相关方要求控制程序》</w:t>
      </w:r>
      <w:r>
        <w:rPr>
          <w:rFonts w:hint="eastAsia"/>
          <w:highlight w:val="none"/>
        </w:rPr>
        <w:t>控制。</w:t>
      </w:r>
    </w:p>
    <w:p w14:paraId="04CEA622">
      <w:pPr>
        <w:rPr>
          <w:highlight w:val="none"/>
        </w:rPr>
      </w:pPr>
    </w:p>
    <w:p w14:paraId="1F90088B">
      <w:pPr>
        <w:rPr>
          <w:rFonts w:hint="eastAsia"/>
          <w:highlight w:val="none"/>
        </w:rPr>
      </w:pPr>
    </w:p>
    <w:p w14:paraId="0B8E43C4">
      <w:pPr>
        <w:pStyle w:val="3"/>
      </w:pPr>
      <w:bookmarkStart w:id="38" w:name="_Toc13983"/>
      <w:bookmarkStart w:id="39" w:name="_Toc536539652"/>
      <w:r>
        <w:rPr>
          <w:rFonts w:hint="eastAsia"/>
        </w:rPr>
        <w:t>4.3确定质量管理体系的范围</w:t>
      </w:r>
      <w:bookmarkEnd w:id="38"/>
      <w:bookmarkEnd w:id="39"/>
    </w:p>
    <w:p w14:paraId="03172EDA">
      <w:pPr>
        <w:pStyle w:val="22"/>
        <w:spacing w:line="360" w:lineRule="auto"/>
        <w:ind w:leftChars="0"/>
        <w:rPr>
          <w:rFonts w:hint="eastAsia" w:ascii="宋体"/>
          <w:szCs w:val="24"/>
        </w:rPr>
      </w:pPr>
      <w:r>
        <w:rPr>
          <w:rFonts w:hint="eastAsia" w:ascii="宋体"/>
          <w:szCs w:val="24"/>
        </w:rPr>
        <w:t>4.3.1公司在确定质量管理体系范围时，考虑了：</w:t>
      </w:r>
    </w:p>
    <w:p w14:paraId="33D1F215">
      <w:pPr>
        <w:pStyle w:val="22"/>
        <w:spacing w:line="360" w:lineRule="auto"/>
        <w:ind w:left="0" w:leftChars="0" w:firstLine="420" w:firstLineChars="200"/>
        <w:rPr>
          <w:rFonts w:hint="eastAsia" w:ascii="宋体"/>
          <w:szCs w:val="24"/>
        </w:rPr>
      </w:pPr>
      <w:r>
        <w:rPr>
          <w:rFonts w:hint="eastAsia" w:ascii="宋体"/>
          <w:szCs w:val="24"/>
        </w:rPr>
        <w:t>a)本手册4.1条款中提到的内外部相关信息；</w:t>
      </w:r>
    </w:p>
    <w:p w14:paraId="53CF98D8">
      <w:pPr>
        <w:pStyle w:val="22"/>
        <w:spacing w:line="360" w:lineRule="auto"/>
        <w:ind w:left="0" w:leftChars="0" w:firstLine="420" w:firstLineChars="200"/>
        <w:rPr>
          <w:rFonts w:hint="eastAsia" w:ascii="宋体"/>
          <w:szCs w:val="24"/>
        </w:rPr>
      </w:pPr>
      <w:r>
        <w:rPr>
          <w:rFonts w:hint="eastAsia" w:ascii="宋体"/>
          <w:szCs w:val="24"/>
        </w:rPr>
        <w:t>b)本手册4.2 条款中提到的相关方要求；</w:t>
      </w:r>
    </w:p>
    <w:p w14:paraId="1DB12CDE">
      <w:pPr>
        <w:pStyle w:val="22"/>
        <w:spacing w:line="360" w:lineRule="auto"/>
        <w:ind w:left="0" w:leftChars="0" w:firstLine="420" w:firstLineChars="200"/>
        <w:rPr>
          <w:rFonts w:hint="eastAsia" w:ascii="宋体"/>
          <w:szCs w:val="24"/>
        </w:rPr>
      </w:pPr>
      <w:r>
        <w:rPr>
          <w:rFonts w:hint="eastAsia" w:ascii="宋体"/>
          <w:szCs w:val="24"/>
        </w:rPr>
        <w:t>c)本公司的活动、产品和服务，重要环境因素和需控制的风险；</w:t>
      </w:r>
    </w:p>
    <w:p w14:paraId="44AFEDE4">
      <w:pPr>
        <w:pStyle w:val="22"/>
        <w:spacing w:line="360" w:lineRule="auto"/>
        <w:ind w:left="0" w:leftChars="0" w:firstLine="420" w:firstLineChars="200"/>
        <w:rPr>
          <w:rFonts w:hint="eastAsia" w:ascii="宋体"/>
          <w:szCs w:val="24"/>
        </w:rPr>
      </w:pPr>
      <w:r>
        <w:rPr>
          <w:rFonts w:hint="eastAsia" w:ascii="宋体"/>
          <w:szCs w:val="24"/>
        </w:rPr>
        <w:t>d)本公司管理的区域、物理边界；</w:t>
      </w:r>
    </w:p>
    <w:p w14:paraId="7E02090C">
      <w:pPr>
        <w:pStyle w:val="22"/>
        <w:spacing w:line="360" w:lineRule="auto"/>
        <w:ind w:left="0" w:leftChars="0" w:firstLine="420" w:firstLineChars="200"/>
        <w:rPr>
          <w:rFonts w:hint="eastAsia" w:ascii="宋体"/>
          <w:szCs w:val="24"/>
        </w:rPr>
      </w:pPr>
      <w:r>
        <w:rPr>
          <w:rFonts w:hint="eastAsia" w:ascii="宋体"/>
          <w:szCs w:val="24"/>
        </w:rPr>
        <w:t>e)</w:t>
      </w:r>
      <w:r>
        <w:rPr>
          <w:rFonts w:hint="eastAsia"/>
        </w:rPr>
        <w:t>本公司能够施加控制和影响的权限和能力。</w:t>
      </w:r>
    </w:p>
    <w:p w14:paraId="793874A0">
      <w:pPr>
        <w:pStyle w:val="22"/>
        <w:spacing w:line="360" w:lineRule="auto"/>
        <w:ind w:left="0" w:leftChars="0" w:firstLine="420" w:firstLineChars="200"/>
        <w:rPr>
          <w:rFonts w:hint="eastAsia" w:ascii="宋体"/>
          <w:szCs w:val="24"/>
        </w:rPr>
      </w:pPr>
      <w:r>
        <w:rPr>
          <w:rFonts w:hint="eastAsia" w:ascii="宋体"/>
          <w:szCs w:val="24"/>
        </w:rPr>
        <w:t>范围应已成文信息保持，并可被公司内及相关方获得。</w:t>
      </w:r>
    </w:p>
    <w:p w14:paraId="4FD56EC3">
      <w:pPr>
        <w:pStyle w:val="22"/>
        <w:spacing w:line="360" w:lineRule="auto"/>
        <w:ind w:left="0" w:leftChars="0" w:firstLine="420" w:firstLineChars="200"/>
        <w:rPr>
          <w:rFonts w:hint="eastAsia" w:ascii="宋体"/>
          <w:szCs w:val="24"/>
        </w:rPr>
      </w:pPr>
      <w:r>
        <w:rPr>
          <w:rFonts w:hint="eastAsia" w:ascii="宋体"/>
          <w:szCs w:val="24"/>
        </w:rPr>
        <w:t>范围一旦确定，有影响产品符合性的过程、产品和服务应纳入公司的质量管理体系范围之内。</w:t>
      </w:r>
    </w:p>
    <w:p w14:paraId="0AD95847">
      <w:pPr>
        <w:spacing w:line="360" w:lineRule="auto"/>
        <w:rPr>
          <w:rFonts w:hint="eastAsia" w:ascii="宋体" w:hAnsi="宋体"/>
        </w:rPr>
      </w:pPr>
      <w:r>
        <w:rPr>
          <w:rFonts w:hint="eastAsia" w:ascii="宋体" w:hAnsi="宋体"/>
        </w:rPr>
        <w:t>4.3.2公司识别并确定的产品和服务为：</w:t>
      </w:r>
    </w:p>
    <w:p w14:paraId="057AA8C3">
      <w:pPr>
        <w:snapToGrid w:val="0"/>
        <w:spacing w:line="360" w:lineRule="auto"/>
        <w:ind w:firstLine="522" w:firstLineChars="249"/>
        <w:rPr>
          <w:rFonts w:hint="eastAsia" w:ascii="宋体"/>
          <w:szCs w:val="24"/>
          <w:highlight w:val="yellow"/>
        </w:rPr>
      </w:pPr>
      <w:r>
        <w:rPr>
          <w:rFonts w:hint="eastAsia" w:ascii="宋体" w:hAnsi="宋体" w:cs="宋体"/>
          <w:highlight w:val="yellow"/>
          <w:lang w:val="en-US" w:eastAsia="zh-CN"/>
        </w:rPr>
        <w:t>****</w:t>
      </w:r>
      <w:r>
        <w:rPr>
          <w:rFonts w:hint="eastAsia" w:ascii="宋体" w:hAnsi="宋体" w:cs="宋体"/>
          <w:highlight w:val="yellow"/>
        </w:rPr>
        <w:t>产品</w:t>
      </w:r>
      <w:r>
        <w:rPr>
          <w:rFonts w:hint="eastAsia" w:ascii="宋体"/>
          <w:szCs w:val="24"/>
          <w:highlight w:val="yellow"/>
        </w:rPr>
        <w:t>的设计开发、生产、修理和服务。</w:t>
      </w:r>
    </w:p>
    <w:p w14:paraId="6CCC84E6">
      <w:pPr>
        <w:spacing w:line="360" w:lineRule="auto"/>
        <w:rPr>
          <w:rFonts w:hint="eastAsia" w:ascii="宋体" w:hAnsi="宋体"/>
          <w:szCs w:val="21"/>
        </w:rPr>
      </w:pPr>
      <w:r>
        <w:rPr>
          <w:rFonts w:hint="eastAsia" w:ascii="宋体" w:hAnsi="宋体"/>
        </w:rPr>
        <w:t>4.3.3公司的办公、科研、生产场所为：</w:t>
      </w:r>
      <w:r>
        <w:rPr>
          <w:rFonts w:hint="eastAsia" w:ascii="宋体" w:hAnsi="宋体"/>
          <w:szCs w:val="21"/>
          <w:highlight w:val="yellow"/>
          <w:lang w:val="en-US" w:eastAsia="zh-CN"/>
        </w:rPr>
        <w:t>****</w:t>
      </w:r>
      <w:r>
        <w:rPr>
          <w:rFonts w:hint="eastAsia" w:ascii="宋体" w:hAnsi="宋体"/>
          <w:szCs w:val="21"/>
          <w:highlight w:val="yellow"/>
        </w:rPr>
        <w:t xml:space="preserve">； </w:t>
      </w:r>
    </w:p>
    <w:p w14:paraId="366E26B8">
      <w:pPr>
        <w:spacing w:line="360" w:lineRule="auto"/>
        <w:rPr>
          <w:rFonts w:hint="eastAsia" w:ascii="宋体" w:hAnsi="宋体"/>
          <w:highlight w:val="yellow"/>
        </w:rPr>
      </w:pPr>
      <w:r>
        <w:rPr>
          <w:rFonts w:hint="eastAsia" w:ascii="宋体" w:hAnsi="宋体"/>
          <w:highlight w:val="none"/>
        </w:rPr>
        <w:t>4.3.4基础设施包括：</w:t>
      </w:r>
      <w:r>
        <w:rPr>
          <w:rFonts w:hint="eastAsia" w:ascii="宋体" w:hAnsi="宋体"/>
          <w:highlight w:val="yellow"/>
        </w:rPr>
        <w:t>厂房、生产设备、试验设备、运输、通讯设施等。</w:t>
      </w:r>
    </w:p>
    <w:p w14:paraId="2EE231CF">
      <w:pPr>
        <w:spacing w:line="360" w:lineRule="auto"/>
        <w:rPr>
          <w:rFonts w:hint="eastAsia" w:ascii="宋体" w:hAnsi="宋体"/>
          <w:szCs w:val="21"/>
          <w:highlight w:val="yellow"/>
        </w:rPr>
      </w:pPr>
      <w:r>
        <w:rPr>
          <w:rFonts w:hint="eastAsia" w:ascii="宋体" w:hAnsi="宋体"/>
          <w:highlight w:val="none"/>
        </w:rPr>
        <w:t>4.3.5公司识别的外包过程有：</w:t>
      </w:r>
      <w:bookmarkStart w:id="40" w:name="OLE_LINK29"/>
      <w:bookmarkStart w:id="41" w:name="OLE_LINK30"/>
      <w:r>
        <w:rPr>
          <w:rFonts w:hint="eastAsia" w:ascii="宋体" w:hAnsi="宋体" w:cs="宋体"/>
          <w:kern w:val="0"/>
          <w:szCs w:val="21"/>
          <w:highlight w:val="yellow"/>
        </w:rPr>
        <w:t>监视与测量设备计量检测和运输过程等</w:t>
      </w:r>
      <w:bookmarkEnd w:id="40"/>
      <w:bookmarkEnd w:id="41"/>
      <w:r>
        <w:rPr>
          <w:rFonts w:hint="eastAsia" w:ascii="宋体" w:hAnsi="宋体" w:cs="宋体"/>
          <w:kern w:val="0"/>
          <w:szCs w:val="21"/>
          <w:highlight w:val="yellow"/>
        </w:rPr>
        <w:t>。</w:t>
      </w:r>
    </w:p>
    <w:p w14:paraId="3FDD5A56">
      <w:pPr>
        <w:spacing w:line="400" w:lineRule="exact"/>
        <w:rPr>
          <w:rFonts w:ascii="宋体" w:hAnsi="宋体"/>
        </w:rPr>
      </w:pPr>
      <w:r>
        <w:rPr>
          <w:rFonts w:hint="eastAsia" w:ascii="宋体" w:hAnsi="宋体"/>
        </w:rPr>
        <w:t>4.3.6公司对GJB9001C-2017标准的应用无删减，如需删减本标准的要求时，应征得顾客同意。</w:t>
      </w:r>
    </w:p>
    <w:p w14:paraId="522B96B5">
      <w:pPr>
        <w:spacing w:line="360" w:lineRule="auto"/>
        <w:rPr>
          <w:rFonts w:ascii="宋体" w:hAnsi="宋体"/>
        </w:rPr>
      </w:pPr>
      <w:r>
        <w:rPr>
          <w:rFonts w:hint="eastAsia" w:ascii="宋体" w:hAnsi="宋体"/>
        </w:rPr>
        <w:t>4.3.7本手册中的成文信息，是指需要控制和保持的信息及其载体。其中，保持的成文信息是指文件(质量手册、程序文件，产品规范、设计图样等)，保留的成文信息是指记录(检验记录、试验报告等)。</w:t>
      </w:r>
    </w:p>
    <w:p w14:paraId="2D87C089">
      <w:pPr>
        <w:spacing w:line="360" w:lineRule="auto"/>
        <w:rPr>
          <w:rFonts w:hint="eastAsia" w:ascii="宋体" w:hAnsi="宋体"/>
        </w:rPr>
      </w:pPr>
    </w:p>
    <w:p w14:paraId="6DCA75EE">
      <w:pPr>
        <w:pStyle w:val="3"/>
      </w:pPr>
      <w:bookmarkStart w:id="42" w:name="_Toc536539653"/>
      <w:bookmarkStart w:id="43" w:name="_Toc18376"/>
      <w:r>
        <w:rPr>
          <w:rFonts w:hint="eastAsia"/>
        </w:rPr>
        <w:t>4.4 质量管理体系及其过程</w:t>
      </w:r>
      <w:bookmarkEnd w:id="42"/>
      <w:bookmarkEnd w:id="43"/>
    </w:p>
    <w:p w14:paraId="5A47D2A3">
      <w:pPr>
        <w:tabs>
          <w:tab w:val="left" w:pos="1305"/>
          <w:tab w:val="left" w:pos="1800"/>
        </w:tabs>
        <w:spacing w:line="360" w:lineRule="auto"/>
        <w:jc w:val="left"/>
        <w:rPr>
          <w:rFonts w:hint="eastAsia" w:ascii="宋体" w:hAnsi="宋体"/>
          <w:szCs w:val="24"/>
        </w:rPr>
      </w:pPr>
      <w:r>
        <w:rPr>
          <w:rFonts w:hint="eastAsia" w:ascii="宋体" w:hAnsi="宋体"/>
          <w:szCs w:val="24"/>
        </w:rPr>
        <w:t>4.4.1公司按</w:t>
      </w:r>
      <w:r>
        <w:rPr>
          <w:rFonts w:hint="eastAsia" w:ascii="宋体" w:hAnsi="宋体"/>
          <w:szCs w:val="21"/>
        </w:rPr>
        <w:t>GB/T19001-2016</w:t>
      </w:r>
      <w:r>
        <w:rPr>
          <w:rFonts w:hint="eastAsia"/>
        </w:rPr>
        <w:t>、</w:t>
      </w:r>
      <w:r>
        <w:rPr>
          <w:rFonts w:ascii="宋体" w:hAnsi="宋体"/>
          <w:szCs w:val="24"/>
        </w:rPr>
        <w:t>GJB9001C-2017</w:t>
      </w:r>
      <w:r>
        <w:rPr>
          <w:rFonts w:hint="eastAsia" w:ascii="宋体" w:hAnsi="宋体"/>
          <w:szCs w:val="24"/>
        </w:rPr>
        <w:t>标准的要求建立、实施、保持并持续改进质量管理体系，包括所需的过程及其相互作用，以确保提供满足顾客要求和适用的法律法规要求的产品，增强顾客满意和提升公司的管理绩效。</w:t>
      </w:r>
    </w:p>
    <w:p w14:paraId="2459C587">
      <w:pPr>
        <w:spacing w:line="360" w:lineRule="auto"/>
        <w:ind w:firstLine="420" w:firstLineChars="200"/>
        <w:rPr>
          <w:rFonts w:hint="eastAsia" w:ascii="宋体" w:hAnsi="宋体"/>
        </w:rPr>
      </w:pPr>
      <w:r>
        <w:rPr>
          <w:rFonts w:hint="eastAsia" w:ascii="宋体" w:hAnsi="宋体"/>
        </w:rPr>
        <w:t>公司确定的质量管理体系所需的过程包括组织环境、领导作用、策划、支持、运行、绩效评价、改进过程。运行过程是质量管理体系的主过程，其子过程有：运行的策划和控制、产品和服务的要求、产品和服务的设计和开发、外部提供的过程及产品和服务的控制、生产和服务提供、产品和服务的放行、不合格输出的控制过程。配置适宜的资源（包括人员、基础设施、过程运行环境、监视和测量资源、知识等），通过体系运行和有效应用，适时开展绩效评价，对发现的不合格采取纠正措施实施改进，不断完善质量管理体系。</w:t>
      </w:r>
      <w:r>
        <w:rPr>
          <w:rFonts w:hint="eastAsia" w:ascii="宋体" w:hAnsi="宋体"/>
          <w:szCs w:val="24"/>
        </w:rPr>
        <w:t>公司在本手册中确定了质量管理体系所需的过程和需控制的风险及其在组织中的应用，包括：</w:t>
      </w:r>
    </w:p>
    <w:p w14:paraId="053F3D01">
      <w:pPr>
        <w:spacing w:line="360" w:lineRule="auto"/>
        <w:ind w:firstLine="420" w:firstLineChars="200"/>
        <w:rPr>
          <w:rFonts w:hint="eastAsia" w:ascii="宋体" w:hAnsi="宋体"/>
        </w:rPr>
      </w:pPr>
      <w:r>
        <w:rPr>
          <w:rFonts w:hint="eastAsia" w:ascii="宋体" w:hAnsi="宋体"/>
        </w:rPr>
        <w:t xml:space="preserve">a)确定以上这些过程所需的输入和期望的输出（见图2）： </w:t>
      </w:r>
    </w:p>
    <w:p w14:paraId="748B2FB9">
      <w:pPr>
        <w:spacing w:line="360" w:lineRule="auto"/>
        <w:ind w:firstLine="420" w:firstLineChars="200"/>
        <w:rPr>
          <w:rFonts w:hint="eastAsia" w:ascii="宋体" w:hAnsi="宋体"/>
        </w:rPr>
      </w:pPr>
      <w:r>
        <w:rPr>
          <w:rFonts w:hint="eastAsia" w:ascii="宋体" w:hAnsi="宋体"/>
        </w:rPr>
        <w:t>b)明确这些过程的输入、输出及其相互作用（图3）；</w:t>
      </w:r>
    </w:p>
    <w:p w14:paraId="3A091115">
      <w:pPr>
        <w:spacing w:line="360" w:lineRule="auto"/>
        <w:ind w:firstLine="420" w:firstLineChars="200"/>
        <w:rPr>
          <w:rFonts w:hint="eastAsia" w:ascii="宋体" w:hAnsi="宋体"/>
        </w:rPr>
      </w:pPr>
      <w:r>
        <w:rPr>
          <w:rFonts w:hint="eastAsia" w:ascii="宋体" w:hAnsi="宋体"/>
          <w:bCs/>
        </w:rPr>
        <w:t>c)</w:t>
      </w:r>
      <w:r>
        <w:rPr>
          <w:rFonts w:hint="eastAsia" w:hAnsi="宋体"/>
          <w:bCs/>
        </w:rPr>
        <w:t xml:space="preserve"> 公司制定</w:t>
      </w:r>
      <w:r>
        <w:rPr>
          <w:rFonts w:hint="eastAsia" w:hAnsi="宋体"/>
          <w:bCs/>
          <w:highlight w:val="yellow"/>
        </w:rPr>
        <w:t>《职责与权限管理程序》</w:t>
      </w:r>
      <w:r>
        <w:rPr>
          <w:rFonts w:hint="eastAsia" w:hAnsi="宋体"/>
          <w:bCs/>
        </w:rPr>
        <w:t>，并在质量手册</w:t>
      </w:r>
      <w:r>
        <w:rPr>
          <w:rFonts w:hint="eastAsia" w:ascii="宋体" w:hAnsi="宋体"/>
          <w:bCs/>
        </w:rPr>
        <w:t>质量管理体系过程与部门职能矩阵</w:t>
      </w:r>
      <w:r>
        <w:rPr>
          <w:rFonts w:hint="eastAsia"/>
        </w:rPr>
        <w:t>、程序文件职责部分分配这些过程的职责和权限</w:t>
      </w:r>
      <w:r>
        <w:rPr>
          <w:rFonts w:hint="eastAsia" w:ascii="宋体" w:hAnsi="宋体"/>
        </w:rPr>
        <w:t>；</w:t>
      </w:r>
    </w:p>
    <w:p w14:paraId="04F366AD">
      <w:pPr>
        <w:spacing w:line="360" w:lineRule="auto"/>
        <w:ind w:firstLine="420" w:firstLineChars="200"/>
        <w:rPr>
          <w:rFonts w:hint="eastAsia" w:ascii="宋体" w:hAnsi="宋体"/>
        </w:rPr>
      </w:pPr>
      <w:r>
        <w:rPr>
          <w:rFonts w:hint="eastAsia" w:ascii="宋体" w:hAnsi="宋体"/>
        </w:rPr>
        <w:t>e)确保这些过程有效运行和有效控制所需的准则和方法，包括监视、测量和相关绩效指标；</w:t>
      </w:r>
    </w:p>
    <w:p w14:paraId="5AE243B5">
      <w:pPr>
        <w:spacing w:line="360" w:lineRule="auto"/>
        <w:ind w:firstLine="420" w:firstLineChars="200"/>
        <w:rPr>
          <w:rFonts w:hint="eastAsia" w:ascii="宋体" w:hAnsi="宋体"/>
        </w:rPr>
      </w:pPr>
      <w:r>
        <w:rPr>
          <w:rFonts w:hint="eastAsia" w:ascii="宋体" w:hAnsi="宋体"/>
        </w:rPr>
        <w:t>f)确保获得必要的资源，以支持对这些过程和需控制风险的管理的运作和监视；</w:t>
      </w:r>
    </w:p>
    <w:p w14:paraId="1A3B6CDF">
      <w:pPr>
        <w:spacing w:line="360" w:lineRule="auto"/>
        <w:ind w:firstLine="420" w:firstLineChars="200"/>
        <w:rPr>
          <w:rFonts w:hint="eastAsia" w:ascii="宋体" w:hAnsi="宋体"/>
        </w:rPr>
      </w:pPr>
      <w:r>
        <w:rPr>
          <w:rFonts w:hint="eastAsia" w:ascii="宋体" w:hAnsi="宋体"/>
        </w:rPr>
        <w:t>g)</w:t>
      </w:r>
      <w:r>
        <w:rPr>
          <w:rFonts w:hint="eastAsia"/>
        </w:rPr>
        <w:t xml:space="preserve"> 公司按照标准6.1应对风险和机遇的措施要求，分析外部风险有关的诸如法律法规、技术、竞争、市场、文化、社会、经济环境因素；内部风险有关的内部因素导致的价值观、文化、绩效因素，针对诸如人员变化、交付周期、过程复杂、设备适宜性等应对风险和利用机遇</w:t>
      </w:r>
      <w:r>
        <w:rPr>
          <w:rFonts w:hint="eastAsia" w:ascii="宋体" w:hAnsi="宋体"/>
        </w:rPr>
        <w:t>；</w:t>
      </w:r>
    </w:p>
    <w:p w14:paraId="7827C4D9">
      <w:pPr>
        <w:spacing w:line="360" w:lineRule="auto"/>
        <w:ind w:left="420" w:leftChars="200"/>
        <w:rPr>
          <w:rFonts w:hint="eastAsia" w:ascii="宋体" w:hAnsi="宋体"/>
          <w:highlight w:val="none"/>
        </w:rPr>
      </w:pPr>
      <w:r>
        <w:rPr>
          <w:rFonts w:hint="eastAsia" w:ascii="宋体" w:hAnsi="宋体"/>
        </w:rPr>
        <w:t>h)</w:t>
      </w:r>
      <w:r>
        <w:rPr>
          <w:rFonts w:hint="eastAsia"/>
        </w:rPr>
        <w:t xml:space="preserve"> 通过质量目标考核、内部审核、管理评审、顾客满意度测量、绩效考核等活动，评价这些过</w:t>
      </w:r>
      <w:r>
        <w:rPr>
          <w:rFonts w:hint="eastAsia"/>
          <w:highlight w:val="none"/>
        </w:rPr>
        <w:t>程，实施所需的变更，以确保实现这些过程的预期结果</w:t>
      </w:r>
      <w:r>
        <w:rPr>
          <w:rFonts w:hint="eastAsia" w:ascii="宋体" w:hAnsi="宋体"/>
          <w:highlight w:val="none"/>
        </w:rPr>
        <w:t>；</w:t>
      </w:r>
    </w:p>
    <w:p w14:paraId="57018CA8">
      <w:pPr>
        <w:spacing w:line="360" w:lineRule="auto"/>
        <w:ind w:firstLine="420" w:firstLineChars="200"/>
        <w:rPr>
          <w:rFonts w:hint="eastAsia" w:ascii="宋体" w:hAnsi="宋体"/>
          <w:highlight w:val="none"/>
        </w:rPr>
      </w:pPr>
      <w:r>
        <w:rPr>
          <w:rFonts w:hint="eastAsia" w:ascii="宋体" w:hAnsi="宋体"/>
          <w:highlight w:val="none"/>
        </w:rPr>
        <w:t>i)</w:t>
      </w:r>
      <w:r>
        <w:rPr>
          <w:rFonts w:hint="eastAsia"/>
          <w:highlight w:val="none"/>
        </w:rPr>
        <w:t xml:space="preserve"> 根据评价结果，</w:t>
      </w:r>
      <w:r>
        <w:rPr>
          <w:rFonts w:hint="eastAsia" w:ascii="宋体" w:hAnsi="宋体"/>
          <w:highlight w:val="none"/>
        </w:rPr>
        <w:t>识别出过程和质量管理体系的改进机会，</w:t>
      </w:r>
      <w:r>
        <w:rPr>
          <w:rFonts w:hint="eastAsia"/>
          <w:highlight w:val="none"/>
        </w:rPr>
        <w:t>对发现的不合格采取纠正措施，采用PDCA循环管理方法，改进过程和质量管理体系</w:t>
      </w:r>
      <w:r>
        <w:rPr>
          <w:rFonts w:hint="eastAsia" w:ascii="宋体" w:hAnsi="宋体"/>
          <w:highlight w:val="none"/>
        </w:rPr>
        <w:t>；</w:t>
      </w:r>
    </w:p>
    <w:p w14:paraId="573612EA">
      <w:pPr>
        <w:spacing w:line="380" w:lineRule="exact"/>
        <w:ind w:firstLine="420" w:firstLineChars="200"/>
        <w:rPr>
          <w:rFonts w:ascii="楷体_GB2312" w:hAnsi="楷体" w:eastAsia="楷体_GB2312"/>
          <w:highlight w:val="none"/>
        </w:rPr>
      </w:pPr>
      <w:r>
        <w:rPr>
          <w:rFonts w:hint="eastAsia" w:ascii="楷体_GB2312" w:hAnsi="楷体" w:eastAsia="楷体_GB2312"/>
          <w:highlight w:val="none"/>
        </w:rPr>
        <w:t>j)公司制定</w:t>
      </w:r>
      <w:r>
        <w:rPr>
          <w:rFonts w:hint="eastAsia" w:ascii="楷体_GB2312" w:hAnsi="楷体" w:eastAsia="楷体_GB2312"/>
          <w:highlight w:val="yellow"/>
        </w:rPr>
        <w:t>《</w:t>
      </w:r>
      <w:r>
        <w:rPr>
          <w:rFonts w:hint="eastAsia" w:ascii="楷体_GB2312" w:hAnsi="楷体" w:eastAsia="楷体_GB2312"/>
          <w:highlight w:val="yellow"/>
          <w:lang w:eastAsia="zh-CN"/>
        </w:rPr>
        <w:t>订单评审及顾客沟通程序</w:t>
      </w:r>
      <w:r>
        <w:rPr>
          <w:rFonts w:hint="eastAsia" w:ascii="楷体_GB2312" w:hAnsi="楷体" w:eastAsia="楷体_GB2312"/>
          <w:highlight w:val="yellow"/>
        </w:rPr>
        <w:t>》</w:t>
      </w:r>
      <w:r>
        <w:rPr>
          <w:rFonts w:hint="eastAsia" w:ascii="楷体_GB2312" w:hAnsi="楷体" w:eastAsia="楷体_GB2312"/>
          <w:highlight w:val="none"/>
        </w:rPr>
        <w:t>对顾客提出的质量管理体系及其过程的特殊要求作出安排；</w:t>
      </w:r>
    </w:p>
    <w:p w14:paraId="6C042859">
      <w:pPr>
        <w:spacing w:line="380" w:lineRule="exact"/>
        <w:ind w:left="420" w:leftChars="200"/>
        <w:rPr>
          <w:rFonts w:ascii="楷体_GB2312" w:hAnsi="楷体" w:eastAsia="楷体_GB2312"/>
          <w:highlight w:val="none"/>
        </w:rPr>
      </w:pPr>
      <w:r>
        <w:rPr>
          <w:rFonts w:hint="eastAsia" w:ascii="楷体_GB2312" w:hAnsi="楷体" w:eastAsia="楷体_GB2312"/>
          <w:highlight w:val="none"/>
        </w:rPr>
        <w:t>k)根据产品特点，建立并实施可靠性、维修性、保障性、测试性、安全性和环境适应性等通用质量特性工作过程（详见8.1）；</w:t>
      </w:r>
    </w:p>
    <w:p w14:paraId="43A64253">
      <w:pPr>
        <w:spacing w:line="380" w:lineRule="exact"/>
        <w:ind w:left="420" w:leftChars="200"/>
        <w:rPr>
          <w:rFonts w:hint="eastAsia" w:ascii="楷体_GB2312" w:hAnsi="楷体" w:eastAsia="楷体_GB2312"/>
          <w:highlight w:val="none"/>
        </w:rPr>
      </w:pPr>
      <w:r>
        <w:rPr>
          <w:rFonts w:hint="eastAsia" w:ascii="楷体_GB2312" w:hAnsi="楷体" w:eastAsia="楷体_GB2312"/>
          <w:highlight w:val="none"/>
        </w:rPr>
        <w:t>l)根据本公司产品特点，暂无军用软件研制任务。</w:t>
      </w:r>
    </w:p>
    <w:p w14:paraId="579FC64E">
      <w:pPr>
        <w:spacing w:line="360" w:lineRule="auto"/>
        <w:jc w:val="left"/>
        <w:rPr>
          <w:rFonts w:hint="eastAsia" w:ascii="宋体" w:hAnsi="宋体"/>
        </w:rPr>
      </w:pPr>
    </w:p>
    <w:p w14:paraId="3F727431">
      <w:pPr>
        <w:spacing w:line="360" w:lineRule="auto"/>
        <w:jc w:val="center"/>
        <w:rPr>
          <w:rFonts w:hint="eastAsia" w:ascii="宋体" w:hAnsi="宋体"/>
        </w:rPr>
      </w:pPr>
      <w:r>
        <w:rPr>
          <w:rFonts w:ascii="宋体" w:hAnsi="宋体"/>
        </w:rPr>
        <w:drawing>
          <wp:inline distT="0" distB="0" distL="114300" distR="114300">
            <wp:extent cx="4749800" cy="4231640"/>
            <wp:effectExtent l="0" t="0" r="5080" b="5080"/>
            <wp:docPr id="1" name="图片 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44"/>
                    <pic:cNvPicPr>
                      <a:picLocks noChangeAspect="1"/>
                    </pic:cNvPicPr>
                  </pic:nvPicPr>
                  <pic:blipFill>
                    <a:blip r:embed="rId10"/>
                    <a:stretch>
                      <a:fillRect/>
                    </a:stretch>
                  </pic:blipFill>
                  <pic:spPr>
                    <a:xfrm>
                      <a:off x="0" y="0"/>
                      <a:ext cx="4749800" cy="4231640"/>
                    </a:xfrm>
                    <a:prstGeom prst="rect">
                      <a:avLst/>
                    </a:prstGeom>
                    <a:noFill/>
                    <a:ln>
                      <a:noFill/>
                    </a:ln>
                  </pic:spPr>
                </pic:pic>
              </a:graphicData>
            </a:graphic>
          </wp:inline>
        </w:drawing>
      </w:r>
      <w:bookmarkStart w:id="44" w:name="OLE_LINK2"/>
      <w:bookmarkStart w:id="45" w:name="OLE_LINK1"/>
    </w:p>
    <w:p w14:paraId="68B4E044">
      <w:pPr>
        <w:spacing w:line="360" w:lineRule="auto"/>
        <w:jc w:val="center"/>
        <w:rPr>
          <w:rFonts w:hint="eastAsia" w:ascii="宋体" w:hAnsi="宋体"/>
        </w:rPr>
      </w:pPr>
      <w:r>
        <w:rPr>
          <w:rFonts w:hint="eastAsia" w:ascii="宋体" w:hAnsi="宋体"/>
        </w:rPr>
        <w:t>图2：质量管理体系过程输入和输出关系图</w:t>
      </w:r>
    </w:p>
    <w:bookmarkEnd w:id="44"/>
    <w:bookmarkEnd w:id="45"/>
    <w:p w14:paraId="5DF21296">
      <w:pPr>
        <w:spacing w:line="360" w:lineRule="auto"/>
        <w:ind w:left="840"/>
        <w:rPr>
          <w:rFonts w:hint="eastAsia" w:ascii="宋体" w:hAnsi="宋体"/>
        </w:rPr>
      </w:pPr>
      <w:r>
        <w:rPr>
          <w:rFonts w:ascii="宋体" w:hAnsi="宋体"/>
        </w:rPr>
        <w:drawing>
          <wp:inline distT="0" distB="0" distL="114300" distR="114300">
            <wp:extent cx="4704715" cy="3876040"/>
            <wp:effectExtent l="0" t="0" r="4445" b="10160"/>
            <wp:docPr id="2" name="图片 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43"/>
                    <pic:cNvPicPr>
                      <a:picLocks noChangeAspect="1"/>
                    </pic:cNvPicPr>
                  </pic:nvPicPr>
                  <pic:blipFill>
                    <a:blip r:embed="rId11"/>
                    <a:stretch>
                      <a:fillRect/>
                    </a:stretch>
                  </pic:blipFill>
                  <pic:spPr>
                    <a:xfrm>
                      <a:off x="0" y="0"/>
                      <a:ext cx="4704715" cy="3876040"/>
                    </a:xfrm>
                    <a:prstGeom prst="rect">
                      <a:avLst/>
                    </a:prstGeom>
                    <a:noFill/>
                    <a:ln>
                      <a:noFill/>
                    </a:ln>
                  </pic:spPr>
                </pic:pic>
              </a:graphicData>
            </a:graphic>
          </wp:inline>
        </w:drawing>
      </w:r>
    </w:p>
    <w:p w14:paraId="1713BBF2">
      <w:pPr>
        <w:spacing w:line="360" w:lineRule="auto"/>
        <w:ind w:firstLine="2835" w:firstLineChars="1350"/>
        <w:rPr>
          <w:rFonts w:hint="eastAsia" w:ascii="宋体" w:hAnsi="宋体"/>
        </w:rPr>
      </w:pPr>
      <w:r>
        <w:rPr>
          <w:rFonts w:hint="eastAsia" w:ascii="宋体" w:hAnsi="宋体"/>
        </w:rPr>
        <w:t>图3：质量管理体系过程关系图</w:t>
      </w:r>
    </w:p>
    <w:p w14:paraId="5C19266B">
      <w:pPr>
        <w:spacing w:line="360" w:lineRule="auto"/>
        <w:rPr>
          <w:rFonts w:hint="eastAsia"/>
        </w:rPr>
      </w:pPr>
      <w:r>
        <w:rPr>
          <w:rFonts w:hint="eastAsia"/>
        </w:rPr>
        <w:t>4.4.2 在必要的范围和程度上，公司：</w:t>
      </w:r>
    </w:p>
    <w:p w14:paraId="4268632E">
      <w:pPr>
        <w:spacing w:line="360" w:lineRule="auto"/>
        <w:ind w:firstLine="420" w:firstLineChars="200"/>
        <w:rPr>
          <w:rFonts w:hint="eastAsia"/>
        </w:rPr>
      </w:pPr>
      <w:r>
        <w:rPr>
          <w:rFonts w:hint="eastAsia"/>
        </w:rPr>
        <w:t>a）制定《质量手册》、《程序文件》、《支持性文件》和技术规范、产品图样、工艺技术文件及必要的作业指导书等，保持成文信息以支持过程运行；</w:t>
      </w:r>
    </w:p>
    <w:p w14:paraId="4E88EECD">
      <w:pPr>
        <w:spacing w:line="360" w:lineRule="auto"/>
        <w:ind w:left="420" w:leftChars="200"/>
        <w:rPr>
          <w:rFonts w:hint="eastAsia"/>
        </w:rPr>
      </w:pPr>
      <w:r>
        <w:rPr>
          <w:rFonts w:hint="eastAsia"/>
        </w:rPr>
        <w:t>b）公司通过体系有效运行和过程实施，形成并保留相关成文信息以确信其过程按策划进行。</w:t>
      </w:r>
    </w:p>
    <w:p w14:paraId="44CC20C4">
      <w:pPr>
        <w:widowControl/>
        <w:ind w:firstLine="420" w:firstLineChars="200"/>
        <w:jc w:val="left"/>
        <w:rPr>
          <w:rFonts w:hint="eastAsia"/>
        </w:rPr>
      </w:pPr>
      <w:r>
        <w:rPr>
          <w:rFonts w:hint="eastAsia"/>
        </w:rPr>
        <w:t>公司制定和实施</w:t>
      </w:r>
      <w:r>
        <w:rPr>
          <w:rFonts w:hint="eastAsia"/>
          <w:highlight w:val="yellow"/>
        </w:rPr>
        <w:t>《文件控制程序》</w:t>
      </w:r>
      <w:r>
        <w:rPr>
          <w:rFonts w:hint="eastAsia"/>
        </w:rPr>
        <w:t>以支持过程运行及证实过程按策划进行，具体需要保持的文件和保留的记录详见各章节。</w:t>
      </w:r>
    </w:p>
    <w:p w14:paraId="43E13569">
      <w:pPr>
        <w:widowControl/>
        <w:ind w:firstLine="420" w:firstLineChars="200"/>
        <w:jc w:val="left"/>
        <w:rPr>
          <w:rFonts w:hint="eastAsia"/>
        </w:rPr>
      </w:pPr>
      <w:r>
        <w:rPr>
          <w:rFonts w:hint="eastAsia"/>
        </w:rPr>
        <w:br w:type="page"/>
      </w:r>
    </w:p>
    <w:p w14:paraId="67528A1E">
      <w:pPr>
        <w:pStyle w:val="2"/>
        <w:jc w:val="left"/>
      </w:pPr>
      <w:bookmarkStart w:id="46" w:name="_Toc13251"/>
      <w:bookmarkStart w:id="47" w:name="_Toc536539654"/>
      <w:r>
        <w:rPr>
          <w:rFonts w:hint="eastAsia"/>
        </w:rPr>
        <w:t>5 领导作用</w:t>
      </w:r>
      <w:bookmarkEnd w:id="46"/>
      <w:bookmarkEnd w:id="47"/>
    </w:p>
    <w:p w14:paraId="57670D1D">
      <w:pPr>
        <w:pStyle w:val="3"/>
      </w:pPr>
      <w:bookmarkStart w:id="48" w:name="_Toc536539655"/>
      <w:bookmarkStart w:id="49" w:name="_Toc16288"/>
      <w:r>
        <w:rPr>
          <w:rFonts w:hint="eastAsia"/>
        </w:rPr>
        <w:t>5.1 领导作用和承诺</w:t>
      </w:r>
      <w:bookmarkEnd w:id="48"/>
      <w:bookmarkEnd w:id="49"/>
    </w:p>
    <w:p w14:paraId="57CA4BD3">
      <w:pPr>
        <w:pStyle w:val="4"/>
      </w:pPr>
      <w:bookmarkStart w:id="50" w:name="_Toc536539656"/>
      <w:bookmarkStart w:id="51" w:name="_Toc25100"/>
      <w:r>
        <w:rPr>
          <w:rFonts w:hint="eastAsia"/>
        </w:rPr>
        <w:t>5.1.1总则</w:t>
      </w:r>
      <w:bookmarkEnd w:id="50"/>
      <w:bookmarkEnd w:id="51"/>
    </w:p>
    <w:p w14:paraId="4D852989">
      <w:pPr>
        <w:spacing w:line="400" w:lineRule="exact"/>
        <w:ind w:firstLine="420" w:firstLineChars="200"/>
      </w:pPr>
      <w:r>
        <w:rPr>
          <w:rFonts w:hint="eastAsia"/>
        </w:rPr>
        <w:t>最高管理者通过组织开展以下方面的活动，证实其对质量管理体系的领导作用和承诺：</w:t>
      </w:r>
    </w:p>
    <w:p w14:paraId="04CCC1A6">
      <w:pPr>
        <w:numPr>
          <w:ilvl w:val="0"/>
          <w:numId w:val="7"/>
        </w:numPr>
        <w:spacing w:line="400" w:lineRule="exact"/>
      </w:pPr>
      <w:r>
        <w:rPr>
          <w:rFonts w:hint="eastAsia" w:ascii="宋体" w:hAnsi="宋体"/>
          <w:kern w:val="0"/>
          <w:lang w:val="zh-CN"/>
        </w:rPr>
        <w:t>对质量管理体系运行的有效性负责；</w:t>
      </w:r>
    </w:p>
    <w:p w14:paraId="31C5EEDA">
      <w:pPr>
        <w:numPr>
          <w:ilvl w:val="0"/>
          <w:numId w:val="7"/>
        </w:numPr>
        <w:spacing w:line="400" w:lineRule="exact"/>
      </w:pPr>
      <w:r>
        <w:rPr>
          <w:rFonts w:hint="eastAsia" w:ascii="宋体" w:hAnsi="宋体"/>
          <w:kern w:val="0"/>
        </w:rPr>
        <w:t>组织分析公司所处的外部和内部环境，制定公司发展战略，明确职责，确保制定质量管理体系的质量方针和质量目标，并与外部和内部环境相适应，与公司战略方向相一致；</w:t>
      </w:r>
    </w:p>
    <w:p w14:paraId="7602B2B8">
      <w:pPr>
        <w:numPr>
          <w:ilvl w:val="0"/>
          <w:numId w:val="7"/>
        </w:numPr>
        <w:spacing w:line="400" w:lineRule="exact"/>
      </w:pPr>
      <w:r>
        <w:rPr>
          <w:rFonts w:hint="eastAsia" w:ascii="宋体" w:hAnsi="宋体"/>
          <w:kern w:val="0"/>
          <w:lang w:val="zh-CN"/>
        </w:rPr>
        <w:t>在公司各项工作流程和要求中明确质量管理要求，确保质量管理体系要求融入组织的业务过程；</w:t>
      </w:r>
    </w:p>
    <w:p w14:paraId="31058614">
      <w:pPr>
        <w:numPr>
          <w:ilvl w:val="0"/>
          <w:numId w:val="7"/>
        </w:numPr>
        <w:spacing w:line="400" w:lineRule="exact"/>
      </w:pPr>
      <w:r>
        <w:rPr>
          <w:rFonts w:hint="eastAsia"/>
        </w:rPr>
        <w:t>按过程方法分解业务流程和职责，结合风险防控，</w:t>
      </w:r>
      <w:r>
        <w:rPr>
          <w:rFonts w:hint="eastAsia" w:ascii="宋体" w:hAnsi="宋体"/>
          <w:kern w:val="0"/>
        </w:rPr>
        <w:t>促进使用过程方法和基于风险的思维；</w:t>
      </w:r>
    </w:p>
    <w:p w14:paraId="7A033D6D">
      <w:pPr>
        <w:numPr>
          <w:ilvl w:val="0"/>
          <w:numId w:val="7"/>
        </w:numPr>
        <w:spacing w:line="400" w:lineRule="exact"/>
      </w:pPr>
      <w:r>
        <w:rPr>
          <w:rFonts w:hint="eastAsia" w:ascii="宋体" w:hAnsi="宋体"/>
          <w:kern w:val="0"/>
        </w:rPr>
        <w:t>确保质量管理体系所需的资源是可获得的；</w:t>
      </w:r>
    </w:p>
    <w:p w14:paraId="0E7BB006">
      <w:pPr>
        <w:numPr>
          <w:ilvl w:val="0"/>
          <w:numId w:val="7"/>
        </w:numPr>
        <w:spacing w:line="400" w:lineRule="exact"/>
      </w:pPr>
      <w:r>
        <w:rPr>
          <w:rFonts w:hint="eastAsia" w:ascii="宋体" w:hAnsi="宋体"/>
          <w:kern w:val="0"/>
        </w:rPr>
        <w:t>全面建立质量责任制，在全公司范围内宣传、沟通有效的质量管理和符合质量管理体系要求的重要性；</w:t>
      </w:r>
    </w:p>
    <w:p w14:paraId="727D9292">
      <w:pPr>
        <w:numPr>
          <w:ilvl w:val="0"/>
          <w:numId w:val="7"/>
        </w:numPr>
        <w:spacing w:line="400" w:lineRule="exact"/>
      </w:pPr>
      <w:r>
        <w:rPr>
          <w:rFonts w:hint="eastAsia" w:ascii="宋体" w:hAnsi="宋体"/>
          <w:kern w:val="0"/>
        </w:rPr>
        <w:t>建立并实施有效的绩效考评机制，确保质量管理体系实现其预期结果；</w:t>
      </w:r>
    </w:p>
    <w:p w14:paraId="461268BF">
      <w:pPr>
        <w:numPr>
          <w:ilvl w:val="0"/>
          <w:numId w:val="7"/>
        </w:numPr>
        <w:spacing w:line="400" w:lineRule="exact"/>
      </w:pPr>
      <w:r>
        <w:rPr>
          <w:rFonts w:hint="eastAsia" w:ascii="宋体" w:hAnsi="宋体"/>
          <w:kern w:val="0"/>
        </w:rPr>
        <w:t>开展企业文化建设和质量文化建设，利用多种手段开展质量奖惩，促使全体员工积极参与质量管理体系建设工作，指导和支持他们为质量管理体系的有效性做贡献；</w:t>
      </w:r>
    </w:p>
    <w:p w14:paraId="4CA4661F">
      <w:pPr>
        <w:numPr>
          <w:ilvl w:val="0"/>
          <w:numId w:val="7"/>
        </w:numPr>
        <w:spacing w:line="400" w:lineRule="exact"/>
      </w:pPr>
      <w:r>
        <w:rPr>
          <w:rFonts w:hint="eastAsia" w:ascii="宋体" w:hAnsi="宋体"/>
          <w:kern w:val="0"/>
        </w:rPr>
        <w:t>推动持续改进；</w:t>
      </w:r>
    </w:p>
    <w:p w14:paraId="2A47626C">
      <w:pPr>
        <w:numPr>
          <w:ilvl w:val="0"/>
          <w:numId w:val="7"/>
        </w:numPr>
        <w:spacing w:line="400" w:lineRule="exact"/>
      </w:pPr>
      <w:r>
        <w:rPr>
          <w:rFonts w:hint="eastAsia" w:ascii="宋体" w:hAnsi="宋体"/>
          <w:kern w:val="0"/>
          <w:lang w:val="zh-CN"/>
        </w:rPr>
        <w:t>明确各级管理者职责、权限，支持其他各级相关管理者在其职责范围内发挥领导作用；</w:t>
      </w:r>
    </w:p>
    <w:p w14:paraId="7CA4536F">
      <w:pPr>
        <w:numPr>
          <w:ilvl w:val="0"/>
          <w:numId w:val="7"/>
        </w:numPr>
        <w:spacing w:line="400" w:lineRule="exact"/>
        <w:rPr>
          <w:rFonts w:ascii="楷体_GB2312" w:hAnsi="楷体" w:eastAsia="楷体_GB2312"/>
        </w:rPr>
      </w:pPr>
      <w:r>
        <w:rPr>
          <w:rFonts w:hint="eastAsia" w:ascii="楷体_GB2312" w:hAnsi="宋体" w:eastAsia="楷体_GB2312"/>
        </w:rPr>
        <w:t>确保品质部门工作过程中在保证质量的前提下，不受行政干预、不受进度影响，确保其独立行使职权，并赋予其在产品质量、评奖活动、绩效考核等活动时，有质量一票否决权</w:t>
      </w:r>
      <w:r>
        <w:rPr>
          <w:rFonts w:hint="eastAsia" w:ascii="楷体_GB2312" w:hAnsi="楷体" w:eastAsia="楷体_GB2312"/>
        </w:rPr>
        <w:t>；</w:t>
      </w:r>
    </w:p>
    <w:p w14:paraId="664DB32B">
      <w:pPr>
        <w:numPr>
          <w:ilvl w:val="0"/>
          <w:numId w:val="7"/>
        </w:numPr>
        <w:spacing w:line="400" w:lineRule="exact"/>
        <w:rPr>
          <w:rFonts w:ascii="楷体_GB2312" w:hAnsi="宋体" w:eastAsia="楷体_GB2312"/>
        </w:rPr>
      </w:pPr>
      <w:r>
        <w:rPr>
          <w:rFonts w:hint="eastAsia" w:ascii="楷体_GB2312" w:hAnsi="宋体" w:eastAsia="楷体_GB2312"/>
        </w:rPr>
        <w:t>总经理是产品和服务质量的第一责任人，对最终产品和服务质量负责；</w:t>
      </w:r>
    </w:p>
    <w:p w14:paraId="4DC381FD">
      <w:pPr>
        <w:numPr>
          <w:ilvl w:val="0"/>
          <w:numId w:val="7"/>
        </w:numPr>
        <w:spacing w:line="400" w:lineRule="exact"/>
        <w:rPr>
          <w:rFonts w:ascii="楷体_GB2312" w:hAnsi="宋体" w:eastAsia="楷体_GB2312"/>
        </w:rPr>
      </w:pPr>
      <w:r>
        <w:rPr>
          <w:rFonts w:hint="eastAsia" w:ascii="楷体_GB2312" w:hAnsi="宋体" w:eastAsia="楷体_GB2312"/>
        </w:rPr>
        <w:t>总经理与顾客建立沟通渠道，适时征询并回复顾客对产品和服务质量的意见和建议，确保顾客能够及时获得产品和服务质量问题的信息；</w:t>
      </w:r>
    </w:p>
    <w:p w14:paraId="7E9E10A1">
      <w:pPr>
        <w:numPr>
          <w:ilvl w:val="0"/>
          <w:numId w:val="7"/>
        </w:numPr>
        <w:spacing w:line="400" w:lineRule="exact"/>
        <w:rPr>
          <w:rFonts w:ascii="楷体_GB2312" w:hAnsi="宋体" w:eastAsia="楷体_GB2312"/>
        </w:rPr>
      </w:pPr>
      <w:r>
        <w:rPr>
          <w:rFonts w:hint="eastAsia" w:ascii="楷体_GB2312" w:hAnsi="宋体" w:eastAsia="楷体_GB2312"/>
        </w:rPr>
        <w:t>建立诚信管理制度，公司制定和实施</w:t>
      </w:r>
      <w:r>
        <w:rPr>
          <w:rFonts w:hint="eastAsia" w:ascii="楷体_GB2312" w:hAnsi="宋体" w:eastAsia="楷体_GB2312"/>
          <w:highlight w:val="yellow"/>
        </w:rPr>
        <w:t>《企业质量诚信控制程序》</w:t>
      </w:r>
      <w:r>
        <w:rPr>
          <w:rFonts w:hint="eastAsia" w:ascii="楷体_GB2312" w:hAnsi="宋体" w:eastAsia="楷体_GB2312"/>
        </w:rPr>
        <w:t>，确保公司的质量诚信。</w:t>
      </w:r>
    </w:p>
    <w:p w14:paraId="6707D1A7">
      <w:pPr>
        <w:pStyle w:val="4"/>
        <w:rPr>
          <w:rFonts w:hint="eastAsia"/>
        </w:rPr>
      </w:pPr>
      <w:bookmarkStart w:id="52" w:name="_Toc18540"/>
      <w:bookmarkStart w:id="53" w:name="_Toc536539657"/>
      <w:r>
        <w:rPr>
          <w:rFonts w:hint="eastAsia"/>
        </w:rPr>
        <w:t>5.1.2 以顾客为关注焦点</w:t>
      </w:r>
      <w:bookmarkEnd w:id="52"/>
      <w:bookmarkEnd w:id="53"/>
    </w:p>
    <w:p w14:paraId="7DD40712">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总经理以顾客为关注焦点，并通过如下活动展现其领导作用和承诺:</w:t>
      </w:r>
    </w:p>
    <w:p w14:paraId="0399A394">
      <w:pPr>
        <w:spacing w:line="360" w:lineRule="auto"/>
        <w:ind w:firstLine="420" w:firstLineChars="200"/>
        <w:rPr>
          <w:rFonts w:hint="eastAsia"/>
        </w:rPr>
      </w:pPr>
      <w:r>
        <w:rPr>
          <w:rFonts w:hint="eastAsia"/>
        </w:rPr>
        <w:t>a)确定和满足顾客要求和适用的法律法规要求；</w:t>
      </w:r>
    </w:p>
    <w:p w14:paraId="2CFA7964">
      <w:pPr>
        <w:spacing w:line="360" w:lineRule="auto"/>
        <w:ind w:firstLine="420" w:firstLineChars="200"/>
        <w:rPr>
          <w:rFonts w:hint="eastAsia"/>
        </w:rPr>
      </w:pPr>
      <w:r>
        <w:rPr>
          <w:rFonts w:hint="eastAsia"/>
        </w:rPr>
        <w:t>b)确定和应对影响产品符合性以及增强顾客满意能力的风险和机会；</w:t>
      </w:r>
    </w:p>
    <w:p w14:paraId="62FADEE4">
      <w:pPr>
        <w:spacing w:line="360" w:lineRule="auto"/>
        <w:ind w:firstLine="420" w:firstLineChars="200"/>
        <w:rPr>
          <w:rFonts w:hint="eastAsia"/>
        </w:rPr>
      </w:pPr>
      <w:r>
        <w:rPr>
          <w:rFonts w:hint="eastAsia"/>
        </w:rPr>
        <w:t>c)保持以持续提供满足顾客和适用法律法规要求的产品为关注焦点；</w:t>
      </w:r>
    </w:p>
    <w:p w14:paraId="49ED41C4">
      <w:pPr>
        <w:spacing w:line="360" w:lineRule="auto"/>
        <w:ind w:firstLine="420" w:firstLineChars="200"/>
        <w:rPr>
          <w:rFonts w:hint="eastAsia"/>
        </w:rPr>
      </w:pPr>
      <w:r>
        <w:rPr>
          <w:rFonts w:hint="eastAsia"/>
        </w:rPr>
        <w:t>d)保持以增强顾客满意为关注焦点。</w:t>
      </w:r>
    </w:p>
    <w:p w14:paraId="6A342C47">
      <w:pPr>
        <w:spacing w:line="480" w:lineRule="exact"/>
        <w:ind w:firstLine="420" w:firstLineChars="200"/>
        <w:rPr>
          <w:rFonts w:hint="eastAsia" w:ascii="楷体_GB2312" w:hAnsi="宋体" w:eastAsia="楷体_GB2312"/>
        </w:rPr>
      </w:pPr>
      <w:r>
        <w:rPr>
          <w:rFonts w:hint="eastAsia" w:ascii="楷体_GB2312" w:hAnsi="宋体" w:eastAsia="楷体_GB2312"/>
        </w:rPr>
        <w:t>e)  及时有效地与顾客沟通，确保建立并实施征求顾客对产品和服务质量及其改进方面意见的制度，公司建立</w:t>
      </w:r>
      <w:r>
        <w:rPr>
          <w:rFonts w:hint="eastAsia" w:ascii="楷体_GB2312" w:hAnsi="宋体" w:eastAsia="楷体_GB2312"/>
          <w:highlight w:val="yellow"/>
        </w:rPr>
        <w:t>《顾客满意度控制程序》</w:t>
      </w:r>
      <w:r>
        <w:rPr>
          <w:rFonts w:hint="eastAsia" w:ascii="楷体_GB2312" w:hAnsi="宋体" w:eastAsia="楷体_GB2312"/>
        </w:rPr>
        <w:t>，对顾客的意见、建议进行定期调查及分析、改进。</w:t>
      </w:r>
    </w:p>
    <w:p w14:paraId="33491B75">
      <w:pPr>
        <w:pStyle w:val="3"/>
        <w:rPr>
          <w:rFonts w:hint="eastAsia"/>
        </w:rPr>
      </w:pPr>
      <w:bookmarkStart w:id="54" w:name="_Toc3409"/>
      <w:bookmarkStart w:id="55" w:name="_Toc536539658"/>
      <w:r>
        <w:rPr>
          <w:rFonts w:hint="eastAsia"/>
        </w:rPr>
        <w:t>5.2 管理方针</w:t>
      </w:r>
      <w:bookmarkEnd w:id="54"/>
      <w:bookmarkEnd w:id="55"/>
    </w:p>
    <w:p w14:paraId="33C6A0A8">
      <w:pPr>
        <w:spacing w:line="400" w:lineRule="exact"/>
        <w:ind w:right="284" w:firstLine="420" w:firstLineChars="200"/>
        <w:rPr>
          <w:rFonts w:hint="eastAsia"/>
        </w:rPr>
      </w:pPr>
      <w:r>
        <w:rPr>
          <w:rFonts w:hint="eastAsia"/>
        </w:rPr>
        <w:t>质量方针是由最高管理者正式发布的本公司总的质量宗旨和方向。</w:t>
      </w:r>
    </w:p>
    <w:p w14:paraId="5C8D6B17">
      <w:pPr>
        <w:pStyle w:val="4"/>
        <w:rPr>
          <w:rFonts w:hint="eastAsia"/>
        </w:rPr>
      </w:pPr>
      <w:bookmarkStart w:id="56" w:name="_Toc536539659"/>
      <w:bookmarkStart w:id="57" w:name="_Toc29634"/>
      <w:r>
        <w:rPr>
          <w:rFonts w:hint="eastAsia"/>
        </w:rPr>
        <w:t>5.2.1公司质量方针</w:t>
      </w:r>
      <w:bookmarkEnd w:id="56"/>
      <w:bookmarkEnd w:id="57"/>
    </w:p>
    <w:p w14:paraId="368A32B1">
      <w:pPr>
        <w:spacing w:line="400" w:lineRule="exact"/>
        <w:ind w:right="284" w:firstLine="420" w:firstLineChars="200"/>
        <w:rPr>
          <w:rFonts w:hint="eastAsia" w:ascii="Calibri" w:hAnsi="Calibri" w:eastAsia="宋体" w:cs="Times New Roman"/>
        </w:rPr>
      </w:pPr>
      <w:r>
        <w:rPr>
          <w:rFonts w:hint="eastAsia" w:ascii="Calibri" w:hAnsi="Calibri" w:eastAsia="宋体" w:cs="Times New Roman"/>
        </w:rPr>
        <w:t>制定本公司的质量方针为：</w:t>
      </w:r>
    </w:p>
    <w:p w14:paraId="0F89105F">
      <w:pPr>
        <w:spacing w:line="400" w:lineRule="exact"/>
        <w:ind w:right="284" w:firstLine="420" w:firstLineChars="200"/>
        <w:rPr>
          <w:rFonts w:hint="default" w:ascii="Calibri" w:hAnsi="Calibri" w:eastAsia="宋体" w:cs="Times New Roman"/>
          <w:color w:val="FF0000"/>
          <w:lang w:val="en-US" w:eastAsia="zh-CN"/>
        </w:rPr>
      </w:pPr>
      <w:r>
        <w:rPr>
          <w:rFonts w:hint="eastAsia" w:ascii="宋体" w:hAnsi="宋体"/>
          <w:color w:val="000000" w:themeColor="text1"/>
          <w:sz w:val="21"/>
          <w:szCs w:val="21"/>
          <w:lang w:val="en-US" w:eastAsia="zh-CN"/>
          <w14:textFill>
            <w14:solidFill>
              <w14:schemeClr w14:val="tx1"/>
            </w14:solidFill>
          </w14:textFill>
        </w:rPr>
        <w:t>{</w:t>
      </w:r>
      <w:r>
        <w:rPr>
          <w:rFonts w:hint="eastAsia" w:ascii="宋体" w:hAnsi="宋体"/>
          <w:color w:val="000000" w:themeColor="text1"/>
          <w:sz w:val="21"/>
          <w:szCs w:val="21"/>
          <w:u w:val="none"/>
          <w:lang w:val="en-US" w:eastAsia="zh-CN"/>
          <w14:textFill>
            <w14:solidFill>
              <w14:schemeClr w14:val="tx1"/>
            </w14:solidFill>
          </w14:textFill>
        </w:rPr>
        <w:t>policies</w:t>
      </w:r>
      <w:r>
        <w:rPr>
          <w:rFonts w:hint="eastAsia" w:ascii="宋体" w:hAnsi="宋体"/>
          <w:color w:val="000000" w:themeColor="text1"/>
          <w:sz w:val="21"/>
          <w:szCs w:val="21"/>
          <w:lang w:val="en-US" w:eastAsia="zh-CN"/>
          <w14:textFill>
            <w14:solidFill>
              <w14:schemeClr w14:val="tx1"/>
            </w14:solidFill>
          </w14:textFill>
        </w:rPr>
        <w:t>}</w:t>
      </w:r>
    </w:p>
    <w:p w14:paraId="6EFC7F5C">
      <w:pPr>
        <w:pStyle w:val="4"/>
        <w:rPr>
          <w:rFonts w:hint="eastAsia"/>
        </w:rPr>
      </w:pPr>
      <w:bookmarkStart w:id="58" w:name="_Toc536539660"/>
      <w:bookmarkStart w:id="59" w:name="_Toc2432"/>
      <w:r>
        <w:rPr>
          <w:rFonts w:hint="eastAsia"/>
        </w:rPr>
        <w:t>5.2.2 沟通管理方针</w:t>
      </w:r>
      <w:bookmarkEnd w:id="58"/>
      <w:bookmarkEnd w:id="59"/>
    </w:p>
    <w:p w14:paraId="68373295">
      <w:pPr>
        <w:spacing w:line="400" w:lineRule="exact"/>
        <w:ind w:right="284"/>
      </w:pPr>
      <w:r>
        <w:rPr>
          <w:rFonts w:hint="eastAsia"/>
        </w:rPr>
        <w:t>5.2.2.1在全公司内发布质量方针，通过培训和宣贯，使公司全体员工理解质量方针，并在实际工作中加以应用，公司质量方针可由有关相关方所获取。</w:t>
      </w:r>
    </w:p>
    <w:p w14:paraId="02E2D901">
      <w:pPr>
        <w:spacing w:line="400" w:lineRule="exact"/>
        <w:ind w:right="284"/>
      </w:pPr>
      <w:r>
        <w:rPr>
          <w:rFonts w:hint="eastAsia"/>
        </w:rPr>
        <w:t>5.2.2.2一般情况下结合每年的管理评审进行质量方针的持续适宜性评审，当外部和内部环境条件发生重大变化时不定期进行评审。</w:t>
      </w:r>
    </w:p>
    <w:p w14:paraId="1A28D1E0">
      <w:pPr>
        <w:pStyle w:val="3"/>
        <w:rPr>
          <w:rFonts w:hint="eastAsia"/>
        </w:rPr>
      </w:pPr>
      <w:bookmarkStart w:id="60" w:name="_Toc29633"/>
      <w:bookmarkStart w:id="61" w:name="_Toc536539661"/>
      <w:r>
        <w:rPr>
          <w:rFonts w:hint="eastAsia"/>
        </w:rPr>
        <w:t>5.3 组织的岗位、职责和权限</w:t>
      </w:r>
      <w:bookmarkEnd w:id="60"/>
      <w:bookmarkEnd w:id="61"/>
    </w:p>
    <w:p w14:paraId="6ED673EC">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总经理确保相关岗位的职责和权限在组织内得到分配、沟通和理解。</w:t>
      </w:r>
    </w:p>
    <w:p w14:paraId="4819A12E">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总经理应分配职责和权限，以便：</w:t>
      </w:r>
    </w:p>
    <w:p w14:paraId="16E98FA7">
      <w:pPr>
        <w:spacing w:line="360" w:lineRule="auto"/>
        <w:ind w:firstLine="420" w:firstLineChars="200"/>
        <w:rPr>
          <w:rFonts w:hint="eastAsia"/>
        </w:rPr>
      </w:pPr>
      <w:r>
        <w:rPr>
          <w:rFonts w:hint="eastAsia"/>
        </w:rPr>
        <w:t>a)确保质量管理体系符合GB/T19001-2016、GJB9001C-2017标准要求；</w:t>
      </w:r>
    </w:p>
    <w:p w14:paraId="629D6CC1">
      <w:pPr>
        <w:spacing w:line="360" w:lineRule="auto"/>
        <w:ind w:firstLine="420" w:firstLineChars="200"/>
        <w:rPr>
          <w:rFonts w:hint="eastAsia"/>
        </w:rPr>
      </w:pPr>
      <w:r>
        <w:rPr>
          <w:rFonts w:hint="eastAsia"/>
        </w:rPr>
        <w:t>b)确保过程的预期输出、重要环境因素和需控制的风险能够得到有效控制；</w:t>
      </w:r>
    </w:p>
    <w:p w14:paraId="329B4B54">
      <w:pPr>
        <w:spacing w:line="360" w:lineRule="auto"/>
        <w:ind w:firstLine="420" w:firstLineChars="200"/>
        <w:rPr>
          <w:rFonts w:hint="eastAsia"/>
        </w:rPr>
      </w:pPr>
      <w:r>
        <w:rPr>
          <w:rFonts w:hint="eastAsia"/>
        </w:rPr>
        <w:t>c)向总经理报告质量管理体系的绩效、改进的机会、变更或创新的需求；</w:t>
      </w:r>
    </w:p>
    <w:p w14:paraId="025487D5">
      <w:pPr>
        <w:spacing w:line="360" w:lineRule="auto"/>
        <w:ind w:firstLine="420" w:firstLineChars="200"/>
        <w:rPr>
          <w:rFonts w:hint="eastAsia"/>
        </w:rPr>
      </w:pPr>
      <w:r>
        <w:rPr>
          <w:rFonts w:hint="eastAsia"/>
        </w:rPr>
        <w:t>d)确保在整个组织内推行以顾客为关注焦点；</w:t>
      </w:r>
    </w:p>
    <w:p w14:paraId="34B40BF8">
      <w:pPr>
        <w:spacing w:line="360" w:lineRule="auto"/>
        <w:ind w:firstLine="420" w:firstLineChars="200"/>
        <w:rPr>
          <w:rFonts w:hint="eastAsia"/>
        </w:rPr>
      </w:pPr>
      <w:r>
        <w:rPr>
          <w:rFonts w:hint="eastAsia"/>
        </w:rPr>
        <w:t>e)就质量管理体系相关事宜与相关方进行联络；</w:t>
      </w:r>
    </w:p>
    <w:p w14:paraId="4D6AE88B">
      <w:pPr>
        <w:spacing w:line="360" w:lineRule="auto"/>
        <w:ind w:firstLine="420" w:firstLineChars="200"/>
        <w:rPr>
          <w:rFonts w:hint="eastAsia"/>
        </w:rPr>
      </w:pPr>
      <w:r>
        <w:rPr>
          <w:rFonts w:hint="eastAsia"/>
        </w:rPr>
        <w:t>f)在策划和实施的质量管理体系变更时，确保其完整性。</w:t>
      </w:r>
    </w:p>
    <w:p w14:paraId="1AA5D0A0">
      <w:pPr>
        <w:spacing w:line="360" w:lineRule="auto"/>
        <w:ind w:firstLine="420" w:firstLineChars="200"/>
        <w:rPr>
          <w:rFonts w:hint="eastAsia" w:ascii="楷体_GB2312" w:hAnsi="宋体" w:eastAsia="楷体_GB2312"/>
        </w:rPr>
      </w:pPr>
      <w:r>
        <w:rPr>
          <w:rFonts w:hint="eastAsia" w:ascii="楷体_GB2312" w:hAnsi="宋体" w:eastAsia="楷体_GB2312"/>
        </w:rPr>
        <w:t>g)公司制定</w:t>
      </w:r>
      <w:r>
        <w:rPr>
          <w:rFonts w:hint="eastAsia" w:hAnsi="宋体"/>
          <w:bCs/>
          <w:highlight w:val="yellow"/>
        </w:rPr>
        <w:t>《职责与权限管理程序》</w:t>
      </w:r>
      <w:r>
        <w:rPr>
          <w:rFonts w:hint="eastAsia" w:ascii="楷体_GB2312" w:hAnsi="宋体" w:eastAsia="楷体_GB2312"/>
        </w:rPr>
        <w:t>，确定各级、各部门、各岗位质量职责，建立并实施</w:t>
      </w:r>
      <w:r>
        <w:rPr>
          <w:rFonts w:hint="eastAsia" w:ascii="楷体_GB2312" w:hAnsi="宋体" w:eastAsia="楷体_GB2312"/>
          <w:highlight w:val="yellow"/>
        </w:rPr>
        <w:t>《质量责任追究与激励管理程序》</w:t>
      </w:r>
      <w:r>
        <w:rPr>
          <w:rFonts w:hint="eastAsia" w:ascii="楷体_GB2312" w:hAnsi="宋体" w:eastAsia="楷体_GB2312"/>
        </w:rPr>
        <w:t>；</w:t>
      </w:r>
    </w:p>
    <w:p w14:paraId="108E86B9">
      <w:pPr>
        <w:spacing w:line="360" w:lineRule="auto"/>
        <w:ind w:firstLine="420" w:firstLineChars="200"/>
        <w:rPr>
          <w:rFonts w:hint="eastAsia" w:ascii="楷体_GB2312" w:hAnsi="宋体" w:eastAsia="楷体_GB2312"/>
        </w:rPr>
      </w:pPr>
      <w:r>
        <w:rPr>
          <w:rFonts w:hint="eastAsia" w:ascii="楷体_GB2312" w:hAnsi="宋体" w:eastAsia="楷体_GB2312"/>
        </w:rPr>
        <w:t>h)公司总经理任命一名总工程师分管公司质量管理体系工作，保留管理者代表称呼，协助总经理确保公司质量管理体系得到建立、实施、保持和持续改进。</w:t>
      </w:r>
    </w:p>
    <w:p w14:paraId="6FC39D3E">
      <w:pPr>
        <w:pStyle w:val="2"/>
        <w:jc w:val="left"/>
      </w:pPr>
      <w:bookmarkStart w:id="62" w:name="_Toc536539662"/>
      <w:bookmarkStart w:id="63" w:name="_Toc24191"/>
      <w:r>
        <w:rPr>
          <w:rFonts w:hint="eastAsia"/>
        </w:rPr>
        <w:t>6 策 划</w:t>
      </w:r>
      <w:bookmarkEnd w:id="62"/>
      <w:bookmarkEnd w:id="63"/>
    </w:p>
    <w:p w14:paraId="41DA8BA0">
      <w:pPr>
        <w:pStyle w:val="3"/>
        <w:rPr>
          <w:rFonts w:hint="eastAsia"/>
        </w:rPr>
      </w:pPr>
      <w:bookmarkStart w:id="64" w:name="_Toc24048"/>
      <w:bookmarkStart w:id="65" w:name="_Toc536539663"/>
      <w:r>
        <w:rPr>
          <w:rFonts w:hint="eastAsia"/>
        </w:rPr>
        <w:t>6.1 应对风险和机遇的措施</w:t>
      </w:r>
      <w:bookmarkEnd w:id="64"/>
      <w:bookmarkEnd w:id="65"/>
    </w:p>
    <w:p w14:paraId="009734E9">
      <w:pPr>
        <w:pStyle w:val="4"/>
      </w:pPr>
      <w:bookmarkStart w:id="66" w:name="_Toc11273"/>
      <w:bookmarkStart w:id="67" w:name="_Toc536539664"/>
      <w:r>
        <w:rPr>
          <w:rFonts w:hint="eastAsia"/>
        </w:rPr>
        <w:t>6.1.1 总则</w:t>
      </w:r>
      <w:bookmarkEnd w:id="66"/>
      <w:bookmarkEnd w:id="67"/>
    </w:p>
    <w:p w14:paraId="14CF1321">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管理部负责建立、实施并保持</w:t>
      </w:r>
      <w:r>
        <w:rPr>
          <w:rFonts w:hint="eastAsia" w:ascii="宋体" w:hAnsi="宋体" w:cs="宋体"/>
          <w:bCs/>
          <w:szCs w:val="21"/>
          <w:highlight w:val="yellow"/>
        </w:rPr>
        <w:t>《风险和机遇控制程序》</w:t>
      </w:r>
      <w:r>
        <w:rPr>
          <w:rFonts w:hint="eastAsia" w:ascii="宋体" w:hAnsi="宋体" w:cs="Arial"/>
          <w:kern w:val="0"/>
          <w:szCs w:val="21"/>
        </w:rPr>
        <w:t>，以满足本手册6.1.2-6.1.4节的要求。</w:t>
      </w:r>
    </w:p>
    <w:p w14:paraId="0F4916B2">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公司在策划质量管理体系时，公司充分考虑本手册4.1所提及的问题、4.2所提及的要求和本公司质量管理体系的范围。</w:t>
      </w:r>
    </w:p>
    <w:p w14:paraId="6F5E9232">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公司按上述程序要求保留这些风险的成文信息，必要时，对这些风险的控制情况进行监督、检查或评价，以确保这些风险的管理过程已经按照策划实施。</w:t>
      </w:r>
    </w:p>
    <w:p w14:paraId="5F3D79E6">
      <w:pPr>
        <w:pStyle w:val="4"/>
        <w:rPr>
          <w:rFonts w:hint="eastAsia"/>
        </w:rPr>
      </w:pPr>
      <w:bookmarkStart w:id="68" w:name="_Toc536539665"/>
      <w:bookmarkStart w:id="69" w:name="_Toc31276"/>
      <w:r>
        <w:rPr>
          <w:rFonts w:hint="eastAsia"/>
        </w:rPr>
        <w:t>6.1.2 风险和机遇所带来的风险</w:t>
      </w:r>
      <w:bookmarkEnd w:id="68"/>
      <w:bookmarkEnd w:id="69"/>
    </w:p>
    <w:p w14:paraId="03051A8B">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管理部负责组织相关部门确定需要应对的风险和机遇，以：</w:t>
      </w:r>
    </w:p>
    <w:p w14:paraId="1C8F5DAD">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a)确保质量管理体系能够实现其预期结果；</w:t>
      </w:r>
    </w:p>
    <w:p w14:paraId="4D58C8A7">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b)增强有利影响；</w:t>
      </w:r>
    </w:p>
    <w:p w14:paraId="5A9D41F1">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c)避免或减少不利影响；</w:t>
      </w:r>
    </w:p>
    <w:p w14:paraId="32A9A0F8">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d)实现改进。</w:t>
      </w:r>
    </w:p>
    <w:p w14:paraId="797C6FBE">
      <w:pPr>
        <w:widowControl/>
        <w:spacing w:line="360" w:lineRule="auto"/>
        <w:ind w:left="420"/>
        <w:jc w:val="left"/>
        <w:rPr>
          <w:rFonts w:hint="eastAsia" w:ascii="宋体" w:hAnsi="宋体" w:cs="Arial"/>
          <w:kern w:val="0"/>
          <w:szCs w:val="21"/>
        </w:rPr>
      </w:pPr>
      <w:r>
        <w:rPr>
          <w:rFonts w:hint="eastAsia" w:ascii="宋体" w:hAnsi="宋体" w:cs="Arial"/>
          <w:kern w:val="0"/>
          <w:szCs w:val="21"/>
        </w:rPr>
        <w:t>各责任部门和相关人员应保持与所需应对的这些风险和机遇所带来的成文信息。</w:t>
      </w:r>
    </w:p>
    <w:p w14:paraId="5D7C8B53">
      <w:pPr>
        <w:pStyle w:val="4"/>
        <w:rPr>
          <w:rFonts w:hint="eastAsia"/>
        </w:rPr>
      </w:pPr>
      <w:bookmarkStart w:id="70" w:name="_Toc19822"/>
      <w:bookmarkStart w:id="71" w:name="_Toc536539666"/>
      <w:r>
        <w:rPr>
          <w:rFonts w:hint="eastAsia"/>
        </w:rPr>
        <w:t>6.1.3采取措施的策划</w:t>
      </w:r>
      <w:bookmarkEnd w:id="70"/>
      <w:bookmarkEnd w:id="71"/>
    </w:p>
    <w:p w14:paraId="4C2173D5">
      <w:pPr>
        <w:widowControl/>
        <w:spacing w:line="360" w:lineRule="auto"/>
        <w:ind w:left="420"/>
        <w:jc w:val="left"/>
        <w:rPr>
          <w:rFonts w:hint="eastAsia" w:ascii="宋体" w:hAnsi="宋体" w:cs="Arial"/>
          <w:kern w:val="0"/>
          <w:szCs w:val="21"/>
        </w:rPr>
      </w:pPr>
      <w:r>
        <w:rPr>
          <w:rFonts w:hint="eastAsia" w:ascii="宋体" w:hAnsi="宋体" w:cs="Arial"/>
          <w:kern w:val="0"/>
          <w:szCs w:val="21"/>
        </w:rPr>
        <w:t>管理部负责组织策划风险应对措施：</w:t>
      </w:r>
    </w:p>
    <w:p w14:paraId="482F2F78">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a)采取措施以应对风险和机遇所带来的风险；</w:t>
      </w:r>
    </w:p>
    <w:p w14:paraId="7F522D40">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b)如何把这些风险应对措施融入质量管理体系过程和其他业务过程中并实施；</w:t>
      </w:r>
    </w:p>
    <w:p w14:paraId="1CD49639">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c)如何评价这些措施的有效性。</w:t>
      </w:r>
    </w:p>
    <w:p w14:paraId="1A2A0021">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公司在确定风险应对措施时，应与其对产品符合性的潜在影响相适应，当策划这些措施时，组织应考虑其可选技术方案、财务、运行和经营要求，考虑这些风险评价的结果，并保留这些风险应对的成文信息。</w:t>
      </w:r>
    </w:p>
    <w:p w14:paraId="66DF6EE0">
      <w:pPr>
        <w:widowControl/>
        <w:spacing w:line="360" w:lineRule="auto"/>
        <w:ind w:firstLine="360" w:firstLineChars="200"/>
        <w:jc w:val="left"/>
        <w:rPr>
          <w:rFonts w:hint="eastAsia" w:ascii="黑体" w:hAnsi="黑体" w:eastAsia="黑体" w:cs="Arial"/>
          <w:kern w:val="0"/>
          <w:sz w:val="18"/>
          <w:szCs w:val="18"/>
        </w:rPr>
      </w:pPr>
      <w:r>
        <w:rPr>
          <w:rFonts w:hint="eastAsia" w:ascii="黑体" w:hAnsi="黑体" w:eastAsia="黑体" w:cs="Arial"/>
          <w:kern w:val="0"/>
          <w:sz w:val="18"/>
          <w:szCs w:val="18"/>
        </w:rPr>
        <w:t>注：风险应对的措施可包括：规避风险、为寻求机遇承担风险、消除风险源、改变风险的可能性或结果、分担风险，或通过明智的决策延缓风险。</w:t>
      </w:r>
    </w:p>
    <w:p w14:paraId="3960E3E8">
      <w:pPr>
        <w:pStyle w:val="4"/>
      </w:pPr>
      <w:bookmarkStart w:id="72" w:name="_Toc9693"/>
      <w:bookmarkStart w:id="73" w:name="_Toc536539667"/>
      <w:r>
        <w:rPr>
          <w:rFonts w:hint="eastAsia"/>
        </w:rPr>
        <w:t>6.1.4 风险分类</w:t>
      </w:r>
      <w:bookmarkEnd w:id="72"/>
      <w:bookmarkEnd w:id="73"/>
    </w:p>
    <w:p w14:paraId="49A51881">
      <w:pPr>
        <w:spacing w:line="400" w:lineRule="exact"/>
        <w:outlineLvl w:val="3"/>
        <w:rPr>
          <w:rFonts w:hint="eastAsia" w:ascii="宋体" w:hAnsi="宋体"/>
          <w:szCs w:val="21"/>
        </w:rPr>
      </w:pPr>
      <w:r>
        <w:rPr>
          <w:rFonts w:hint="eastAsia" w:ascii="宋体" w:hAnsi="宋体"/>
          <w:szCs w:val="21"/>
        </w:rPr>
        <w:t>6.1.4.1战略风险</w:t>
      </w:r>
    </w:p>
    <w:p w14:paraId="35B43D06">
      <w:pPr>
        <w:spacing w:line="400" w:lineRule="exact"/>
        <w:ind w:firstLine="420" w:firstLineChars="200"/>
        <w:outlineLvl w:val="3"/>
        <w:rPr>
          <w:rFonts w:hint="eastAsia" w:ascii="宋体" w:hAnsi="宋体"/>
          <w:szCs w:val="21"/>
        </w:rPr>
      </w:pPr>
      <w:r>
        <w:rPr>
          <w:rFonts w:hint="eastAsia" w:ascii="宋体" w:hAnsi="宋体"/>
          <w:szCs w:val="21"/>
        </w:rPr>
        <w:t>应广泛收集国内外企业战略风险失控导致企业蒙受损失的案例，并至少收集与该企业相关的以下重要信息：</w:t>
      </w:r>
    </w:p>
    <w:p w14:paraId="0D0CBE54">
      <w:pPr>
        <w:spacing w:line="400" w:lineRule="exact"/>
        <w:outlineLvl w:val="3"/>
        <w:rPr>
          <w:rFonts w:hint="eastAsia" w:ascii="宋体" w:hAnsi="宋体"/>
          <w:szCs w:val="21"/>
        </w:rPr>
      </w:pPr>
      <w:r>
        <w:rPr>
          <w:rFonts w:hint="eastAsia" w:ascii="宋体" w:hAnsi="宋体"/>
          <w:szCs w:val="21"/>
        </w:rPr>
        <w:t>1）国内外宏观经济政策以及经济运行情况、本行业状况、国家产业政策；</w:t>
      </w:r>
    </w:p>
    <w:p w14:paraId="65942806">
      <w:pPr>
        <w:spacing w:line="400" w:lineRule="exact"/>
        <w:outlineLvl w:val="3"/>
        <w:rPr>
          <w:rFonts w:hint="eastAsia" w:ascii="宋体" w:hAnsi="宋体"/>
          <w:szCs w:val="21"/>
        </w:rPr>
      </w:pPr>
      <w:r>
        <w:rPr>
          <w:rFonts w:hint="eastAsia" w:ascii="宋体" w:hAnsi="宋体"/>
          <w:szCs w:val="21"/>
        </w:rPr>
        <w:t>2）科技进步、技术创新的有关内容；</w:t>
      </w:r>
    </w:p>
    <w:p w14:paraId="7F176750">
      <w:pPr>
        <w:spacing w:line="400" w:lineRule="exact"/>
        <w:outlineLvl w:val="3"/>
        <w:rPr>
          <w:rFonts w:hint="eastAsia" w:ascii="宋体" w:hAnsi="宋体"/>
          <w:szCs w:val="21"/>
        </w:rPr>
      </w:pPr>
      <w:r>
        <w:rPr>
          <w:rFonts w:hint="eastAsia" w:ascii="宋体" w:hAnsi="宋体"/>
          <w:szCs w:val="21"/>
        </w:rPr>
        <w:t>3）市场对该企业产品或服务的需求；</w:t>
      </w:r>
    </w:p>
    <w:p w14:paraId="552AAB15">
      <w:pPr>
        <w:spacing w:line="400" w:lineRule="exact"/>
        <w:outlineLvl w:val="3"/>
        <w:rPr>
          <w:rFonts w:hint="eastAsia" w:ascii="宋体" w:hAnsi="宋体"/>
          <w:szCs w:val="21"/>
        </w:rPr>
      </w:pPr>
      <w:r>
        <w:rPr>
          <w:rFonts w:hint="eastAsia" w:ascii="宋体" w:hAnsi="宋体"/>
          <w:szCs w:val="21"/>
        </w:rPr>
        <w:t>4）与企业战略合作伙伴的关系，未来寻求战略合作伙伴的可能性；</w:t>
      </w:r>
    </w:p>
    <w:p w14:paraId="71FB2504">
      <w:pPr>
        <w:spacing w:line="400" w:lineRule="exact"/>
        <w:outlineLvl w:val="3"/>
        <w:rPr>
          <w:rFonts w:hint="eastAsia" w:ascii="宋体" w:hAnsi="宋体"/>
          <w:szCs w:val="21"/>
        </w:rPr>
      </w:pPr>
      <w:r>
        <w:rPr>
          <w:rFonts w:hint="eastAsia" w:ascii="宋体" w:hAnsi="宋体"/>
          <w:szCs w:val="21"/>
        </w:rPr>
        <w:t>5）该企业主要客户、供应商及竞争对手的有关情况；</w:t>
      </w:r>
    </w:p>
    <w:p w14:paraId="3D94BE2F">
      <w:pPr>
        <w:spacing w:line="400" w:lineRule="exact"/>
        <w:outlineLvl w:val="3"/>
        <w:rPr>
          <w:rFonts w:hint="eastAsia" w:ascii="宋体" w:hAnsi="宋体"/>
          <w:szCs w:val="21"/>
        </w:rPr>
      </w:pPr>
      <w:r>
        <w:rPr>
          <w:rFonts w:hint="eastAsia" w:ascii="宋体" w:hAnsi="宋体"/>
          <w:szCs w:val="21"/>
        </w:rPr>
        <w:t>6）与主要竞争对手相比，该企业实力与差距；</w:t>
      </w:r>
    </w:p>
    <w:p w14:paraId="1A75703B">
      <w:pPr>
        <w:spacing w:line="400" w:lineRule="exact"/>
        <w:outlineLvl w:val="3"/>
        <w:rPr>
          <w:rFonts w:hint="eastAsia" w:ascii="宋体" w:hAnsi="宋体"/>
          <w:szCs w:val="21"/>
        </w:rPr>
      </w:pPr>
      <w:r>
        <w:rPr>
          <w:rFonts w:hint="eastAsia" w:ascii="宋体" w:hAnsi="宋体"/>
          <w:szCs w:val="21"/>
        </w:rPr>
        <w:t>7）本企业发展战略和规划、投融资计划、年度经营目标、经营战略，以及编制这些战略、规划、计划、目标的有关依据；</w:t>
      </w:r>
    </w:p>
    <w:p w14:paraId="44AB32F5">
      <w:pPr>
        <w:spacing w:line="400" w:lineRule="exact"/>
        <w:outlineLvl w:val="3"/>
        <w:rPr>
          <w:rFonts w:hint="eastAsia" w:ascii="宋体" w:hAnsi="宋体"/>
          <w:szCs w:val="21"/>
        </w:rPr>
      </w:pPr>
      <w:r>
        <w:rPr>
          <w:rFonts w:hint="eastAsia" w:ascii="宋体" w:hAnsi="宋体"/>
          <w:szCs w:val="21"/>
        </w:rPr>
        <w:t>8）该企业对外投融资流程中曾发生或易发生错误的业务流程或环节。</w:t>
      </w:r>
    </w:p>
    <w:p w14:paraId="34072983">
      <w:pPr>
        <w:spacing w:line="400" w:lineRule="exact"/>
        <w:outlineLvl w:val="3"/>
        <w:rPr>
          <w:rFonts w:hint="eastAsia" w:ascii="宋体" w:hAnsi="宋体"/>
          <w:szCs w:val="21"/>
        </w:rPr>
      </w:pPr>
      <w:r>
        <w:rPr>
          <w:rFonts w:hint="eastAsia" w:ascii="宋体" w:hAnsi="宋体"/>
          <w:szCs w:val="21"/>
        </w:rPr>
        <w:t>6.1.4.2财务风险</w:t>
      </w:r>
    </w:p>
    <w:p w14:paraId="380BA209">
      <w:pPr>
        <w:spacing w:line="400" w:lineRule="exact"/>
        <w:ind w:firstLine="420" w:firstLineChars="200"/>
        <w:outlineLvl w:val="3"/>
        <w:rPr>
          <w:rFonts w:ascii="宋体" w:hAnsi="宋体"/>
          <w:szCs w:val="21"/>
        </w:rPr>
      </w:pPr>
      <w:r>
        <w:rPr>
          <w:rFonts w:hint="eastAsia" w:ascii="宋体" w:hAnsi="宋体"/>
          <w:szCs w:val="21"/>
        </w:rPr>
        <w:t>应广泛收集国内外企业财务风险失控导致危机的案例，并至少收集该企业的以下重要信息（其中有行业平均指标或先进指标的，也应尽可能收集）：</w:t>
      </w:r>
      <w:r>
        <w:rPr>
          <w:rFonts w:ascii="宋体" w:hAnsi="宋体"/>
          <w:szCs w:val="21"/>
        </w:rPr>
        <w:t xml:space="preserve"> </w:t>
      </w:r>
    </w:p>
    <w:p w14:paraId="717F7DFA">
      <w:pPr>
        <w:spacing w:line="400" w:lineRule="exact"/>
        <w:outlineLvl w:val="3"/>
        <w:rPr>
          <w:rFonts w:hint="eastAsia" w:ascii="宋体" w:hAnsi="宋体"/>
          <w:szCs w:val="21"/>
        </w:rPr>
      </w:pPr>
      <w:r>
        <w:rPr>
          <w:rFonts w:hint="eastAsia" w:ascii="宋体" w:hAnsi="宋体"/>
          <w:szCs w:val="21"/>
        </w:rPr>
        <w:t>1）负债、或有负债、负债率、偿债能力；</w:t>
      </w:r>
    </w:p>
    <w:p w14:paraId="7B7A881C">
      <w:pPr>
        <w:spacing w:line="400" w:lineRule="exact"/>
        <w:outlineLvl w:val="3"/>
        <w:rPr>
          <w:rFonts w:hint="eastAsia" w:ascii="宋体" w:hAnsi="宋体"/>
          <w:szCs w:val="21"/>
        </w:rPr>
      </w:pPr>
      <w:r>
        <w:rPr>
          <w:rFonts w:hint="eastAsia" w:ascii="宋体" w:hAnsi="宋体"/>
          <w:szCs w:val="21"/>
        </w:rPr>
        <w:t>2）现金流、应收账款及其占销售收入的比重、资金周转率；</w:t>
      </w:r>
    </w:p>
    <w:p w14:paraId="7F3BDB4B">
      <w:pPr>
        <w:spacing w:line="400" w:lineRule="exact"/>
        <w:outlineLvl w:val="3"/>
        <w:rPr>
          <w:rFonts w:hint="eastAsia" w:ascii="宋体" w:hAnsi="宋体"/>
          <w:szCs w:val="21"/>
        </w:rPr>
      </w:pPr>
      <w:r>
        <w:rPr>
          <w:rFonts w:hint="eastAsia" w:ascii="宋体" w:hAnsi="宋体"/>
          <w:szCs w:val="21"/>
        </w:rPr>
        <w:t>3）产品存货及其占销售成本的比重、应付账款及其占购货额的比重；</w:t>
      </w:r>
    </w:p>
    <w:p w14:paraId="75EEFC84">
      <w:pPr>
        <w:spacing w:line="400" w:lineRule="exact"/>
        <w:outlineLvl w:val="3"/>
        <w:rPr>
          <w:rFonts w:hint="eastAsia" w:ascii="宋体" w:hAnsi="宋体"/>
          <w:szCs w:val="21"/>
        </w:rPr>
      </w:pPr>
      <w:r>
        <w:rPr>
          <w:rFonts w:hint="eastAsia" w:ascii="宋体" w:hAnsi="宋体"/>
          <w:szCs w:val="21"/>
        </w:rPr>
        <w:t>4）制造成本和管理费用、财务费用、营业费用；</w:t>
      </w:r>
    </w:p>
    <w:p w14:paraId="46C5B50A">
      <w:pPr>
        <w:spacing w:line="400" w:lineRule="exact"/>
        <w:outlineLvl w:val="3"/>
        <w:rPr>
          <w:rFonts w:hint="eastAsia" w:ascii="宋体" w:hAnsi="宋体"/>
          <w:szCs w:val="21"/>
        </w:rPr>
      </w:pPr>
      <w:r>
        <w:rPr>
          <w:rFonts w:hint="eastAsia" w:ascii="宋体" w:hAnsi="宋体"/>
          <w:szCs w:val="21"/>
        </w:rPr>
        <w:t>5）盈利能力；</w:t>
      </w:r>
    </w:p>
    <w:p w14:paraId="44EDC403">
      <w:pPr>
        <w:spacing w:line="400" w:lineRule="exact"/>
        <w:outlineLvl w:val="3"/>
        <w:rPr>
          <w:rFonts w:hint="eastAsia" w:ascii="宋体" w:hAnsi="宋体"/>
          <w:szCs w:val="21"/>
        </w:rPr>
      </w:pPr>
      <w:r>
        <w:rPr>
          <w:rFonts w:hint="eastAsia" w:ascii="宋体" w:hAnsi="宋体"/>
          <w:szCs w:val="21"/>
        </w:rPr>
        <w:t>6）成本核算、资金结算和现金管理业务中曾发生或易发生错误的业务流程或环节；</w:t>
      </w:r>
    </w:p>
    <w:p w14:paraId="131D3472">
      <w:pPr>
        <w:spacing w:line="400" w:lineRule="exact"/>
        <w:outlineLvl w:val="3"/>
        <w:rPr>
          <w:rFonts w:hint="eastAsia" w:ascii="宋体" w:hAnsi="宋体"/>
          <w:szCs w:val="21"/>
        </w:rPr>
      </w:pPr>
      <w:r>
        <w:rPr>
          <w:rFonts w:hint="eastAsia" w:ascii="宋体" w:hAnsi="宋体"/>
          <w:szCs w:val="21"/>
        </w:rPr>
        <w:t>7)与该企业相关的行业会计政策、会计估算、与国际会计制度的差异与调节（如退休金、递延税项等）等信息。</w:t>
      </w:r>
    </w:p>
    <w:p w14:paraId="4FE13E32">
      <w:pPr>
        <w:spacing w:line="400" w:lineRule="exact"/>
        <w:outlineLvl w:val="3"/>
        <w:rPr>
          <w:rFonts w:hint="eastAsia" w:ascii="宋体" w:hAnsi="宋体"/>
          <w:szCs w:val="21"/>
        </w:rPr>
      </w:pPr>
      <w:r>
        <w:rPr>
          <w:rFonts w:hint="eastAsia" w:ascii="宋体" w:hAnsi="宋体"/>
          <w:szCs w:val="21"/>
        </w:rPr>
        <w:t>6.1.4.3市场风险</w:t>
      </w:r>
    </w:p>
    <w:p w14:paraId="70B31DD9">
      <w:pPr>
        <w:spacing w:line="400" w:lineRule="exact"/>
        <w:ind w:firstLine="420" w:firstLineChars="200"/>
        <w:outlineLvl w:val="3"/>
        <w:rPr>
          <w:rFonts w:hint="eastAsia" w:ascii="宋体" w:hAnsi="宋体"/>
          <w:szCs w:val="21"/>
        </w:rPr>
      </w:pPr>
      <w:r>
        <w:rPr>
          <w:rFonts w:hint="eastAsia" w:ascii="宋体" w:hAnsi="宋体"/>
          <w:szCs w:val="21"/>
        </w:rPr>
        <w:t>应广泛收集国内外企业忽视市场风险、缺乏应对措施导致企业蒙受损失的案例，并至少收集与该企业相关的以下重要信息：</w:t>
      </w:r>
    </w:p>
    <w:p w14:paraId="06E3F630">
      <w:pPr>
        <w:spacing w:line="400" w:lineRule="exact"/>
        <w:outlineLvl w:val="3"/>
        <w:rPr>
          <w:rFonts w:hint="eastAsia" w:ascii="宋体" w:hAnsi="宋体"/>
          <w:szCs w:val="21"/>
        </w:rPr>
      </w:pPr>
      <w:r>
        <w:rPr>
          <w:rFonts w:hint="eastAsia" w:ascii="宋体" w:hAnsi="宋体"/>
          <w:szCs w:val="21"/>
        </w:rPr>
        <w:t>1）产品或服务的价格及供需变化；</w:t>
      </w:r>
    </w:p>
    <w:p w14:paraId="16637392">
      <w:pPr>
        <w:spacing w:line="400" w:lineRule="exact"/>
        <w:outlineLvl w:val="3"/>
        <w:rPr>
          <w:rFonts w:hint="eastAsia" w:ascii="宋体" w:hAnsi="宋体"/>
          <w:szCs w:val="21"/>
        </w:rPr>
      </w:pPr>
      <w:r>
        <w:rPr>
          <w:rFonts w:hint="eastAsia" w:ascii="宋体" w:hAnsi="宋体"/>
          <w:szCs w:val="21"/>
        </w:rPr>
        <w:t>2）能源、原材料、配件等物资供应的充足性、稳定性和价格变化；</w:t>
      </w:r>
    </w:p>
    <w:p w14:paraId="732F5070">
      <w:pPr>
        <w:spacing w:line="400" w:lineRule="exact"/>
        <w:outlineLvl w:val="3"/>
        <w:rPr>
          <w:rFonts w:hint="eastAsia" w:ascii="宋体" w:hAnsi="宋体"/>
          <w:szCs w:val="21"/>
        </w:rPr>
      </w:pPr>
      <w:r>
        <w:rPr>
          <w:rFonts w:hint="eastAsia" w:ascii="宋体" w:hAnsi="宋体"/>
          <w:szCs w:val="21"/>
        </w:rPr>
        <w:t>3）主要客户、主要供应商的信用情况；</w:t>
      </w:r>
    </w:p>
    <w:p w14:paraId="2325B74A">
      <w:pPr>
        <w:spacing w:line="400" w:lineRule="exact"/>
        <w:outlineLvl w:val="3"/>
        <w:rPr>
          <w:rFonts w:hint="eastAsia" w:ascii="宋体" w:hAnsi="宋体"/>
          <w:szCs w:val="21"/>
        </w:rPr>
      </w:pPr>
      <w:r>
        <w:rPr>
          <w:rFonts w:hint="eastAsia" w:ascii="宋体" w:hAnsi="宋体"/>
          <w:szCs w:val="21"/>
        </w:rPr>
        <w:t>4）税收政策和利率、汇率、股票价格指数的变化；</w:t>
      </w:r>
    </w:p>
    <w:p w14:paraId="69EDA349">
      <w:pPr>
        <w:spacing w:line="400" w:lineRule="exact"/>
        <w:outlineLvl w:val="3"/>
        <w:rPr>
          <w:rFonts w:hint="eastAsia" w:ascii="宋体" w:hAnsi="宋体"/>
          <w:szCs w:val="21"/>
        </w:rPr>
      </w:pPr>
      <w:r>
        <w:rPr>
          <w:rFonts w:hint="eastAsia" w:ascii="宋体" w:hAnsi="宋体"/>
          <w:szCs w:val="21"/>
        </w:rPr>
        <w:t>5）潜在竞争者、竞争者及其主要产品、替代品情况。</w:t>
      </w:r>
    </w:p>
    <w:p w14:paraId="342957F8">
      <w:pPr>
        <w:spacing w:line="400" w:lineRule="exact"/>
        <w:outlineLvl w:val="3"/>
        <w:rPr>
          <w:rFonts w:hint="eastAsia" w:ascii="宋体" w:hAnsi="宋体"/>
          <w:szCs w:val="21"/>
        </w:rPr>
      </w:pPr>
      <w:r>
        <w:rPr>
          <w:rFonts w:hint="eastAsia" w:ascii="宋体" w:hAnsi="宋体"/>
          <w:szCs w:val="21"/>
        </w:rPr>
        <w:t>6.1.4.4运营风险</w:t>
      </w:r>
    </w:p>
    <w:p w14:paraId="468BABA6">
      <w:pPr>
        <w:spacing w:line="400" w:lineRule="exact"/>
        <w:ind w:firstLine="420" w:firstLineChars="200"/>
        <w:outlineLvl w:val="3"/>
        <w:rPr>
          <w:rFonts w:hint="eastAsia" w:ascii="宋体" w:hAnsi="宋体"/>
          <w:szCs w:val="21"/>
        </w:rPr>
      </w:pPr>
      <w:r>
        <w:rPr>
          <w:rFonts w:hint="eastAsia" w:ascii="宋体" w:hAnsi="宋体"/>
          <w:szCs w:val="21"/>
        </w:rPr>
        <w:t>企业应至少收集与该企业、本行业相关的以下信息：</w:t>
      </w:r>
    </w:p>
    <w:p w14:paraId="481CC51D">
      <w:pPr>
        <w:spacing w:line="400" w:lineRule="exact"/>
        <w:outlineLvl w:val="3"/>
        <w:rPr>
          <w:rFonts w:hint="eastAsia" w:ascii="宋体" w:hAnsi="宋体"/>
          <w:szCs w:val="21"/>
        </w:rPr>
      </w:pPr>
      <w:r>
        <w:rPr>
          <w:rFonts w:hint="eastAsia" w:ascii="宋体" w:hAnsi="宋体"/>
          <w:szCs w:val="21"/>
        </w:rPr>
        <w:t>1）产品结构、新产品研发；</w:t>
      </w:r>
    </w:p>
    <w:p w14:paraId="65461812">
      <w:pPr>
        <w:spacing w:line="400" w:lineRule="exact"/>
        <w:outlineLvl w:val="3"/>
        <w:rPr>
          <w:rFonts w:hint="eastAsia" w:ascii="宋体" w:hAnsi="宋体"/>
          <w:szCs w:val="21"/>
        </w:rPr>
      </w:pPr>
      <w:r>
        <w:rPr>
          <w:rFonts w:hint="eastAsia" w:ascii="宋体" w:hAnsi="宋体"/>
          <w:szCs w:val="21"/>
        </w:rPr>
        <w:t>2）新市场开发，市场营销策略，包括产品或服务定价与销售渠道，市场营销环境状况等；</w:t>
      </w:r>
    </w:p>
    <w:p w14:paraId="0F752D9D">
      <w:pPr>
        <w:spacing w:line="400" w:lineRule="exact"/>
        <w:outlineLvl w:val="3"/>
        <w:rPr>
          <w:rFonts w:hint="eastAsia" w:ascii="宋体" w:hAnsi="宋体"/>
          <w:szCs w:val="21"/>
        </w:rPr>
      </w:pPr>
      <w:r>
        <w:rPr>
          <w:rFonts w:hint="eastAsia" w:ascii="宋体" w:hAnsi="宋体"/>
          <w:szCs w:val="21"/>
        </w:rPr>
        <w:t>3）企业组织效能、管理现状、企业文化，高、中层管理人员和重要业务流程中专业人员的知识结构、专业经验；</w:t>
      </w:r>
    </w:p>
    <w:p w14:paraId="288218B4">
      <w:pPr>
        <w:spacing w:line="400" w:lineRule="exact"/>
        <w:outlineLvl w:val="3"/>
        <w:rPr>
          <w:rFonts w:hint="eastAsia" w:ascii="宋体" w:hAnsi="宋体"/>
          <w:szCs w:val="21"/>
        </w:rPr>
      </w:pPr>
      <w:r>
        <w:rPr>
          <w:rFonts w:hint="eastAsia" w:ascii="宋体" w:hAnsi="宋体"/>
          <w:szCs w:val="21"/>
        </w:rPr>
        <w:t>4）期货等衍生产品业务中曾发生或易发生失误的流程和环节；</w:t>
      </w:r>
    </w:p>
    <w:p w14:paraId="494B22CE">
      <w:pPr>
        <w:spacing w:line="400" w:lineRule="exact"/>
        <w:outlineLvl w:val="3"/>
        <w:rPr>
          <w:rFonts w:hint="eastAsia" w:ascii="宋体" w:hAnsi="宋体"/>
          <w:szCs w:val="21"/>
        </w:rPr>
      </w:pPr>
      <w:r>
        <w:rPr>
          <w:rFonts w:hint="eastAsia" w:ascii="宋体" w:hAnsi="宋体"/>
          <w:szCs w:val="21"/>
        </w:rPr>
        <w:t>5）质量、安全、环保、信息安全等管理中曾发生或易发生失误的业务流程或环节；</w:t>
      </w:r>
    </w:p>
    <w:p w14:paraId="2B24E1BE">
      <w:pPr>
        <w:spacing w:line="400" w:lineRule="exact"/>
        <w:outlineLvl w:val="3"/>
        <w:rPr>
          <w:rFonts w:hint="eastAsia" w:ascii="宋体" w:hAnsi="宋体"/>
          <w:szCs w:val="21"/>
        </w:rPr>
      </w:pPr>
      <w:r>
        <w:rPr>
          <w:rFonts w:hint="eastAsia" w:ascii="宋体" w:hAnsi="宋体"/>
          <w:szCs w:val="21"/>
        </w:rPr>
        <w:t>6）因企业内、外部人员的道德风险致使企业遭受损失或业务控制系统失灵；</w:t>
      </w:r>
    </w:p>
    <w:p w14:paraId="0FD473B9">
      <w:pPr>
        <w:spacing w:line="400" w:lineRule="exact"/>
        <w:outlineLvl w:val="3"/>
        <w:rPr>
          <w:rFonts w:hint="eastAsia" w:ascii="宋体" w:hAnsi="宋体"/>
          <w:szCs w:val="21"/>
        </w:rPr>
      </w:pPr>
      <w:r>
        <w:rPr>
          <w:rFonts w:hint="eastAsia" w:ascii="宋体" w:hAnsi="宋体"/>
          <w:szCs w:val="21"/>
        </w:rPr>
        <w:t>7）给企业造成损失的自然灾害以及除上述有关情形之外的其他纯粹风险；</w:t>
      </w:r>
    </w:p>
    <w:p w14:paraId="268DF1BB">
      <w:pPr>
        <w:spacing w:line="400" w:lineRule="exact"/>
        <w:outlineLvl w:val="3"/>
        <w:rPr>
          <w:rFonts w:hint="eastAsia" w:ascii="宋体" w:hAnsi="宋体"/>
          <w:szCs w:val="21"/>
        </w:rPr>
      </w:pPr>
      <w:r>
        <w:rPr>
          <w:rFonts w:hint="eastAsia" w:ascii="宋体" w:hAnsi="宋体"/>
          <w:szCs w:val="21"/>
        </w:rPr>
        <w:t>8）对现有业务流程和信息系统操作运行情况的监管、运行评价及持续改进能力；</w:t>
      </w:r>
    </w:p>
    <w:p w14:paraId="39CFCD86">
      <w:pPr>
        <w:spacing w:line="400" w:lineRule="exact"/>
        <w:outlineLvl w:val="3"/>
        <w:rPr>
          <w:rFonts w:hint="eastAsia" w:ascii="宋体" w:hAnsi="宋体"/>
          <w:szCs w:val="21"/>
        </w:rPr>
      </w:pPr>
      <w:r>
        <w:rPr>
          <w:rFonts w:hint="eastAsia" w:ascii="宋体" w:hAnsi="宋体"/>
          <w:szCs w:val="21"/>
        </w:rPr>
        <w:t>9）企业风险管理的现状和能力。</w:t>
      </w:r>
    </w:p>
    <w:p w14:paraId="681485AD">
      <w:pPr>
        <w:spacing w:line="400" w:lineRule="exact"/>
        <w:outlineLvl w:val="3"/>
        <w:rPr>
          <w:rFonts w:hint="eastAsia" w:ascii="宋体" w:hAnsi="宋体"/>
          <w:szCs w:val="21"/>
        </w:rPr>
      </w:pPr>
      <w:r>
        <w:rPr>
          <w:rFonts w:hint="eastAsia" w:ascii="宋体" w:hAnsi="宋体"/>
          <w:szCs w:val="21"/>
        </w:rPr>
        <w:t>6.1.4.5法律风险</w:t>
      </w:r>
    </w:p>
    <w:p w14:paraId="37581E37">
      <w:pPr>
        <w:spacing w:line="400" w:lineRule="exact"/>
        <w:ind w:firstLine="420" w:firstLineChars="200"/>
        <w:outlineLvl w:val="3"/>
        <w:rPr>
          <w:rFonts w:hint="eastAsia" w:ascii="宋体" w:hAnsi="宋体"/>
          <w:szCs w:val="21"/>
        </w:rPr>
      </w:pPr>
      <w:r>
        <w:rPr>
          <w:rFonts w:hint="eastAsia" w:ascii="宋体" w:hAnsi="宋体"/>
          <w:szCs w:val="21"/>
        </w:rPr>
        <w:t>企业应广泛收集国内外企业忽视法律法规风险、缺乏应对措施导致企业蒙受损失的案例，并至少收集与该企业相关的以下信息：</w:t>
      </w:r>
    </w:p>
    <w:p w14:paraId="1F10D5D8">
      <w:pPr>
        <w:spacing w:line="400" w:lineRule="exact"/>
        <w:outlineLvl w:val="3"/>
        <w:rPr>
          <w:rFonts w:hint="eastAsia" w:ascii="宋体" w:hAnsi="宋体"/>
          <w:szCs w:val="21"/>
        </w:rPr>
      </w:pPr>
      <w:r>
        <w:rPr>
          <w:rFonts w:hint="eastAsia" w:ascii="宋体" w:hAnsi="宋体"/>
          <w:szCs w:val="21"/>
        </w:rPr>
        <w:t>1）国内外与该企业相关的政治、法律环境；</w:t>
      </w:r>
    </w:p>
    <w:p w14:paraId="2D1B23DF">
      <w:pPr>
        <w:spacing w:line="400" w:lineRule="exact"/>
        <w:outlineLvl w:val="3"/>
        <w:rPr>
          <w:rFonts w:hint="eastAsia" w:ascii="宋体" w:hAnsi="宋体"/>
          <w:szCs w:val="21"/>
        </w:rPr>
      </w:pPr>
      <w:r>
        <w:rPr>
          <w:rFonts w:hint="eastAsia" w:ascii="宋体" w:hAnsi="宋体"/>
          <w:szCs w:val="21"/>
        </w:rPr>
        <w:t>2）影响企业的新法律法规和政策；</w:t>
      </w:r>
    </w:p>
    <w:p w14:paraId="04286655">
      <w:pPr>
        <w:spacing w:line="400" w:lineRule="exact"/>
        <w:outlineLvl w:val="3"/>
        <w:rPr>
          <w:rFonts w:hint="eastAsia" w:ascii="宋体" w:hAnsi="宋体"/>
          <w:szCs w:val="21"/>
        </w:rPr>
      </w:pPr>
      <w:r>
        <w:rPr>
          <w:rFonts w:hint="eastAsia" w:ascii="宋体" w:hAnsi="宋体"/>
          <w:szCs w:val="21"/>
        </w:rPr>
        <w:t>3）员工道德操守的遵从性；</w:t>
      </w:r>
    </w:p>
    <w:p w14:paraId="4A0D8C73">
      <w:pPr>
        <w:spacing w:line="400" w:lineRule="exact"/>
        <w:outlineLvl w:val="3"/>
        <w:rPr>
          <w:rFonts w:hint="eastAsia" w:ascii="宋体" w:hAnsi="宋体"/>
          <w:szCs w:val="21"/>
        </w:rPr>
      </w:pPr>
      <w:r>
        <w:rPr>
          <w:rFonts w:hint="eastAsia" w:ascii="宋体" w:hAnsi="宋体"/>
          <w:szCs w:val="21"/>
        </w:rPr>
        <w:t>4）该企业签订的重大协议和有关贸易合同；</w:t>
      </w:r>
    </w:p>
    <w:p w14:paraId="5FA04F1D">
      <w:pPr>
        <w:spacing w:line="400" w:lineRule="exact"/>
        <w:outlineLvl w:val="3"/>
        <w:rPr>
          <w:rFonts w:hint="eastAsia" w:ascii="宋体" w:hAnsi="宋体"/>
          <w:szCs w:val="21"/>
        </w:rPr>
      </w:pPr>
      <w:r>
        <w:rPr>
          <w:rFonts w:hint="eastAsia" w:ascii="宋体" w:hAnsi="宋体"/>
          <w:szCs w:val="21"/>
        </w:rPr>
        <w:t>5）该企业发生重大法律纠纷案件的情况；</w:t>
      </w:r>
    </w:p>
    <w:p w14:paraId="48FE38F8">
      <w:pPr>
        <w:spacing w:line="400" w:lineRule="exact"/>
        <w:outlineLvl w:val="3"/>
        <w:rPr>
          <w:rFonts w:hint="eastAsia" w:ascii="宋体" w:hAnsi="宋体"/>
          <w:szCs w:val="21"/>
        </w:rPr>
      </w:pPr>
      <w:r>
        <w:rPr>
          <w:rFonts w:hint="eastAsia" w:ascii="宋体" w:hAnsi="宋体"/>
          <w:szCs w:val="21"/>
        </w:rPr>
        <w:t>6）企业和竞争对手的知识产权情况。</w:t>
      </w:r>
    </w:p>
    <w:p w14:paraId="118C3D72">
      <w:pPr>
        <w:pStyle w:val="3"/>
        <w:rPr>
          <w:rFonts w:hint="eastAsia"/>
        </w:rPr>
      </w:pPr>
      <w:bookmarkStart w:id="74" w:name="_Toc536539668"/>
      <w:bookmarkStart w:id="75" w:name="_Toc17505"/>
      <w:r>
        <w:rPr>
          <w:rFonts w:hint="eastAsia"/>
        </w:rPr>
        <w:t>6.2质量目标及其实现的策划</w:t>
      </w:r>
      <w:bookmarkEnd w:id="74"/>
      <w:bookmarkEnd w:id="75"/>
    </w:p>
    <w:p w14:paraId="040B2776">
      <w:pPr>
        <w:pStyle w:val="4"/>
      </w:pPr>
      <w:bookmarkStart w:id="76" w:name="_Toc536539669"/>
      <w:bookmarkStart w:id="77" w:name="_Toc22032"/>
      <w:r>
        <w:rPr>
          <w:rFonts w:hint="eastAsia"/>
        </w:rPr>
        <w:t>6.2.1 质量目标</w:t>
      </w:r>
      <w:bookmarkEnd w:id="76"/>
      <w:bookmarkEnd w:id="77"/>
    </w:p>
    <w:p w14:paraId="6B25953F">
      <w:pPr>
        <w:widowControl/>
        <w:spacing w:line="360" w:lineRule="auto"/>
        <w:ind w:firstLine="420" w:firstLineChars="200"/>
        <w:jc w:val="left"/>
        <w:rPr>
          <w:rFonts w:hint="eastAsia" w:ascii="宋体" w:hAnsi="宋体" w:cs="Arial"/>
          <w:kern w:val="0"/>
          <w:szCs w:val="21"/>
        </w:rPr>
      </w:pPr>
      <w:r>
        <w:rPr>
          <w:rFonts w:ascii="宋体" w:cs="宋体"/>
          <w:kern w:val="0"/>
          <w:szCs w:val="21"/>
        </w:rPr>
        <w:t>最高管理者在</w:t>
      </w:r>
      <w:r>
        <w:rPr>
          <w:rFonts w:hint="eastAsia" w:ascii="宋体" w:cs="宋体"/>
          <w:kern w:val="0"/>
          <w:szCs w:val="21"/>
        </w:rPr>
        <w:t>公司</w:t>
      </w:r>
      <w:r>
        <w:rPr>
          <w:rFonts w:ascii="宋体" w:cs="宋体"/>
          <w:kern w:val="0"/>
          <w:szCs w:val="21"/>
        </w:rPr>
        <w:t>质量方针的框架内，根据</w:t>
      </w:r>
      <w:r>
        <w:rPr>
          <w:rFonts w:hint="eastAsia" w:ascii="宋体" w:cs="宋体"/>
          <w:kern w:val="0"/>
          <w:szCs w:val="21"/>
        </w:rPr>
        <w:t>公司</w:t>
      </w:r>
      <w:r>
        <w:rPr>
          <w:rFonts w:ascii="宋体" w:cs="宋体"/>
          <w:kern w:val="0"/>
          <w:szCs w:val="21"/>
        </w:rPr>
        <w:t>的实际进行策划，在相关职能和层次上制定出可测量的、经努力能分阶段实现的质量目标</w:t>
      </w:r>
      <w:r>
        <w:rPr>
          <w:rFonts w:hint="eastAsia" w:ascii="宋体" w:hAnsi="宋体" w:cs="Arial"/>
          <w:kern w:val="0"/>
          <w:szCs w:val="21"/>
        </w:rPr>
        <w:t>。</w:t>
      </w:r>
    </w:p>
    <w:p w14:paraId="743779EB">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质量目标应：</w:t>
      </w:r>
    </w:p>
    <w:p w14:paraId="15319540">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a)与管理方针保持一致；</w:t>
      </w:r>
    </w:p>
    <w:p w14:paraId="30E6605B">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b)可测量；</w:t>
      </w:r>
    </w:p>
    <w:p w14:paraId="28041D16">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c)考虑适用的要求、本公司的重要环境因素，并考虑其风险和机遇；</w:t>
      </w:r>
    </w:p>
    <w:p w14:paraId="1308EE6A">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d)与提供合格的产品和服务以及增强顾客满意相关；</w:t>
      </w:r>
    </w:p>
    <w:p w14:paraId="6AFBBA8A">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e)予以监视；</w:t>
      </w:r>
    </w:p>
    <w:p w14:paraId="28BD6B1F">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f)予以沟通；</w:t>
      </w:r>
    </w:p>
    <w:p w14:paraId="3942173C">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g)适时更新。</w:t>
      </w:r>
    </w:p>
    <w:p w14:paraId="391F81F4">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公司应保留有关管理目标的成文信息。</w:t>
      </w:r>
    </w:p>
    <w:p w14:paraId="4336A61A">
      <w:pPr>
        <w:pStyle w:val="4"/>
      </w:pPr>
      <w:bookmarkStart w:id="78" w:name="_Toc536539670"/>
      <w:bookmarkStart w:id="79" w:name="_Toc27456"/>
      <w:r>
        <w:rPr>
          <w:rFonts w:hint="eastAsia"/>
        </w:rPr>
        <w:t>6.2.2 实现质量目标措施的策划</w:t>
      </w:r>
      <w:bookmarkEnd w:id="78"/>
      <w:bookmarkEnd w:id="79"/>
    </w:p>
    <w:p w14:paraId="65845BDD">
      <w:pPr>
        <w:widowControl/>
        <w:spacing w:line="360" w:lineRule="auto"/>
        <w:ind w:firstLine="420" w:firstLineChars="200"/>
        <w:jc w:val="left"/>
        <w:rPr>
          <w:rFonts w:ascii="Arial" w:hAnsi="Arial" w:cs="Arial"/>
          <w:kern w:val="0"/>
          <w:szCs w:val="21"/>
        </w:rPr>
      </w:pPr>
      <w:r>
        <w:rPr>
          <w:rFonts w:hint="eastAsia" w:ascii="宋体" w:hAnsi="宋体" w:cs="Arial"/>
          <w:kern w:val="0"/>
          <w:szCs w:val="21"/>
        </w:rPr>
        <w:t>在策划如何实现公司的管理目标时，应确定：</w:t>
      </w:r>
    </w:p>
    <w:p w14:paraId="0B7B4454">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a)采取的措施；</w:t>
      </w:r>
    </w:p>
    <w:p w14:paraId="00574D56">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b)需要的资源；</w:t>
      </w:r>
    </w:p>
    <w:p w14:paraId="1C70CC4A">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c)由谁负责；</w:t>
      </w:r>
    </w:p>
    <w:p w14:paraId="600FDDAA">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d)何时完成；</w:t>
      </w:r>
    </w:p>
    <w:p w14:paraId="303BA9D9">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e)如何评价结果，包括支持管理目标实现的过程监视指标。</w:t>
      </w:r>
    </w:p>
    <w:p w14:paraId="771D04F9">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公司应考虑如何将实现质量目标的措施融入到公司的业务过程。</w:t>
      </w:r>
    </w:p>
    <w:p w14:paraId="288FCACF">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公司建立、实施和保持</w:t>
      </w:r>
      <w:r>
        <w:rPr>
          <w:rFonts w:hint="eastAsia" w:ascii="宋体" w:cs="宋体"/>
          <w:kern w:val="0"/>
          <w:szCs w:val="21"/>
          <w:highlight w:val="yellow"/>
        </w:rPr>
        <w:t>《目标和管理方案控制程序》</w:t>
      </w:r>
      <w:r>
        <w:rPr>
          <w:rFonts w:hint="eastAsia" w:ascii="宋体" w:hAnsi="宋体" w:cs="Arial"/>
          <w:kern w:val="0"/>
          <w:szCs w:val="21"/>
        </w:rPr>
        <w:t>，明确目标制定、分解和考核的职责、流程和要求。</w:t>
      </w:r>
    </w:p>
    <w:p w14:paraId="4A61BB28">
      <w:pPr>
        <w:pStyle w:val="3"/>
        <w:rPr>
          <w:rFonts w:hint="eastAsia"/>
        </w:rPr>
      </w:pPr>
      <w:bookmarkStart w:id="80" w:name="_Toc536539671"/>
      <w:bookmarkStart w:id="81" w:name="_Toc22314"/>
      <w:r>
        <w:rPr>
          <w:rFonts w:hint="eastAsia"/>
        </w:rPr>
        <w:t>6.3 变更的策划</w:t>
      </w:r>
      <w:bookmarkEnd w:id="80"/>
      <w:bookmarkEnd w:id="81"/>
    </w:p>
    <w:p w14:paraId="6B3E224D">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当公司确定质量管理体系有变更的需求时，变更应是按照所策划的和系统的方式进行。</w:t>
      </w:r>
    </w:p>
    <w:p w14:paraId="30B6DAAE">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组织应考虑：</w:t>
      </w:r>
    </w:p>
    <w:p w14:paraId="16D4B751">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a)变更的目的和潜在的后果；</w:t>
      </w:r>
    </w:p>
    <w:p w14:paraId="13B3190D">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b)质量管理体系的完整性；</w:t>
      </w:r>
    </w:p>
    <w:p w14:paraId="1F14D0B1">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c)资源的可获得性；</w:t>
      </w:r>
    </w:p>
    <w:p w14:paraId="54465B61">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d)职责和权限的分配或再分配。</w:t>
      </w:r>
    </w:p>
    <w:p w14:paraId="181B9772">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公司建立、实施和保持</w:t>
      </w:r>
      <w:r>
        <w:rPr>
          <w:rFonts w:hint="eastAsia" w:ascii="宋体" w:hAnsi="宋体" w:cs="Arial"/>
          <w:kern w:val="0"/>
          <w:szCs w:val="21"/>
          <w:highlight w:val="yellow"/>
        </w:rPr>
        <w:t>《变更过程控制程序》</w:t>
      </w:r>
      <w:r>
        <w:rPr>
          <w:rFonts w:hint="eastAsia" w:ascii="宋体" w:hAnsi="宋体" w:cs="Arial"/>
          <w:kern w:val="0"/>
          <w:szCs w:val="21"/>
        </w:rPr>
        <w:t>，明确质量管理体系运行过程中各类变更的管理职责、流程和要求。</w:t>
      </w:r>
    </w:p>
    <w:p w14:paraId="5F7CDF02">
      <w:pPr>
        <w:pStyle w:val="2"/>
        <w:jc w:val="left"/>
        <w:rPr>
          <w:rFonts w:hint="eastAsia"/>
        </w:rPr>
      </w:pPr>
      <w:bookmarkStart w:id="82" w:name="_Toc536539672"/>
      <w:bookmarkStart w:id="83" w:name="_Toc12912"/>
      <w:r>
        <w:rPr>
          <w:rFonts w:hint="eastAsia"/>
        </w:rPr>
        <w:t>7 支 持</w:t>
      </w:r>
      <w:bookmarkEnd w:id="82"/>
      <w:bookmarkEnd w:id="83"/>
    </w:p>
    <w:p w14:paraId="1A952AFE">
      <w:pPr>
        <w:ind w:firstLine="420" w:firstLineChars="200"/>
      </w:pPr>
      <w:r>
        <w:rPr>
          <w:rFonts w:hint="eastAsia"/>
        </w:rPr>
        <w:t>支持过程是公司质量管理体系重要的组成部分，是有效实施质量管理体系必须的基础条件。包括人力资源、基础设施、设备、仪器仪表、运行环境、文件和记录等条件，以及人员能力、意识、知识、沟通、质量信息等内容</w:t>
      </w:r>
    </w:p>
    <w:p w14:paraId="624BA598">
      <w:pPr>
        <w:pStyle w:val="3"/>
      </w:pPr>
      <w:bookmarkStart w:id="84" w:name="_Toc536539673"/>
      <w:bookmarkStart w:id="85" w:name="_Toc8004"/>
      <w:r>
        <w:rPr>
          <w:rFonts w:hint="eastAsia"/>
        </w:rPr>
        <w:t>7.1 资源</w:t>
      </w:r>
      <w:bookmarkEnd w:id="84"/>
      <w:bookmarkEnd w:id="85"/>
    </w:p>
    <w:p w14:paraId="3DC8A9F4">
      <w:pPr>
        <w:pStyle w:val="4"/>
      </w:pPr>
      <w:bookmarkStart w:id="86" w:name="_Toc2500"/>
      <w:bookmarkStart w:id="87" w:name="_Toc536539674"/>
      <w:r>
        <w:rPr>
          <w:rFonts w:hint="eastAsia"/>
        </w:rPr>
        <w:t>7.1.1 总则</w:t>
      </w:r>
      <w:bookmarkEnd w:id="86"/>
      <w:bookmarkEnd w:id="87"/>
    </w:p>
    <w:p w14:paraId="02D73B01">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公司确定并提供建立、实施、保持和持续改进质量管理体系所需的资源。</w:t>
      </w:r>
    </w:p>
    <w:p w14:paraId="447203BC">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公司在确定并提供资源时，应考虑：</w:t>
      </w:r>
    </w:p>
    <w:p w14:paraId="33C3F6CF">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a)现有的内部资源的能力和约束；</w:t>
      </w:r>
    </w:p>
    <w:p w14:paraId="4531EE6D">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b)需要从外部供方获得的资源。</w:t>
      </w:r>
    </w:p>
    <w:p w14:paraId="73CB0C25">
      <w:pPr>
        <w:widowControl/>
        <w:spacing w:line="360" w:lineRule="auto"/>
        <w:ind w:left="426"/>
        <w:jc w:val="left"/>
        <w:rPr>
          <w:rFonts w:hint="eastAsia" w:ascii="楷体_GB2312" w:hAnsi="宋体" w:eastAsia="楷体_GB2312" w:cs="Arial"/>
          <w:kern w:val="0"/>
          <w:szCs w:val="21"/>
        </w:rPr>
      </w:pPr>
      <w:r>
        <w:rPr>
          <w:rFonts w:hint="eastAsia" w:ascii="楷体_GB2312" w:hAnsi="宋体" w:eastAsia="楷体_GB2312" w:cs="Arial"/>
          <w:kern w:val="0"/>
          <w:szCs w:val="21"/>
        </w:rPr>
        <w:t>c）需要顾客提供的资源（如研制生产所需的法规、标准、技术资料等，试验鉴定所需的设备、设施、人员等），包括顾客财产、知识产权、个人信息等。</w:t>
      </w:r>
    </w:p>
    <w:p w14:paraId="7A085FFD">
      <w:pPr>
        <w:pStyle w:val="4"/>
        <w:rPr>
          <w:rFonts w:hint="eastAsia"/>
        </w:rPr>
      </w:pPr>
      <w:bookmarkStart w:id="88" w:name="_Toc28798"/>
      <w:bookmarkStart w:id="89" w:name="_Toc536539675"/>
      <w:r>
        <w:rPr>
          <w:rFonts w:hint="eastAsia"/>
        </w:rPr>
        <w:t>7.1.2 人员</w:t>
      </w:r>
      <w:bookmarkEnd w:id="88"/>
      <w:bookmarkEnd w:id="89"/>
    </w:p>
    <w:p w14:paraId="496835A9">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为确保公司能够持续满足顾客和适用的法律法规要求，公司提供质量管理体系及其过程运行所需的人员。包括符合要求的管理人员、技术人员、检验人员、安全管理人员、操作人员等。</w:t>
      </w:r>
    </w:p>
    <w:p w14:paraId="4B5E4665">
      <w:pPr>
        <w:widowControl/>
        <w:spacing w:line="360" w:lineRule="auto"/>
        <w:ind w:firstLine="525" w:firstLineChars="250"/>
        <w:jc w:val="left"/>
        <w:rPr>
          <w:rFonts w:hint="eastAsia" w:ascii="宋体" w:hAnsi="宋体" w:cs="Arial"/>
          <w:kern w:val="0"/>
          <w:szCs w:val="21"/>
        </w:rPr>
      </w:pPr>
      <w:r>
        <w:rPr>
          <w:rFonts w:hint="eastAsia" w:ascii="宋体" w:hAnsi="宋体" w:cs="Arial"/>
          <w:kern w:val="0"/>
          <w:szCs w:val="21"/>
        </w:rPr>
        <w:t>公司建立、实施和保持</w:t>
      </w:r>
      <w:r>
        <w:rPr>
          <w:rFonts w:hint="eastAsia" w:ascii="宋体" w:cs="宋体"/>
          <w:highlight w:val="yellow"/>
        </w:rPr>
        <w:t>《人力资源控制程序》</w:t>
      </w:r>
      <w:r>
        <w:rPr>
          <w:rFonts w:hint="eastAsia" w:ascii="宋体" w:hAnsi="宋体" w:cs="Arial"/>
          <w:kern w:val="0"/>
          <w:szCs w:val="21"/>
        </w:rPr>
        <w:t>，明确人力资源管理职责、配置、培训和教育、人员能力评价等内容。</w:t>
      </w:r>
    </w:p>
    <w:p w14:paraId="721129D1">
      <w:pPr>
        <w:pStyle w:val="4"/>
      </w:pPr>
      <w:bookmarkStart w:id="90" w:name="_Toc536539676"/>
      <w:bookmarkStart w:id="91" w:name="_Toc24081"/>
      <w:r>
        <w:rPr>
          <w:rFonts w:hint="eastAsia"/>
        </w:rPr>
        <w:t>7.1.3 基础设施</w:t>
      </w:r>
      <w:bookmarkEnd w:id="90"/>
      <w:bookmarkEnd w:id="91"/>
    </w:p>
    <w:p w14:paraId="0355917B">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为了确保产品的符合性，对重要环境因素和需控制的风险的有效运作和监视，公司确定、提供和维护过程运行所需的基础设施。包括：</w:t>
      </w:r>
    </w:p>
    <w:p w14:paraId="09735237">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a)建筑物及其相关设施；如仓库、配电房、办公场所等；</w:t>
      </w:r>
    </w:p>
    <w:p w14:paraId="5A83DF07">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b)产品生产过程所需的设备、工装、模具等，如加工设备、焊接设备、起重设备、试验设备、工装等；</w:t>
      </w:r>
    </w:p>
    <w:p w14:paraId="0421CA49">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c)运输设备：如叉车、运输车辆等；</w:t>
      </w:r>
    </w:p>
    <w:p w14:paraId="6E2D12A7">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d)信息及通讯技术；</w:t>
      </w:r>
    </w:p>
    <w:p w14:paraId="7FAFA4A4">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e)污染防治设施、安全健康防护设施，如除尘设备、污水处理设施等。</w:t>
      </w:r>
    </w:p>
    <w:p w14:paraId="1D6C07AD">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公司建立、实施和保持</w:t>
      </w:r>
      <w:r>
        <w:rPr>
          <w:rFonts w:hint="eastAsia" w:ascii="宋体" w:cs="宋体"/>
          <w:kern w:val="0"/>
          <w:sz w:val="24"/>
          <w:highlight w:val="yellow"/>
        </w:rPr>
        <w:t>《设施和工作环境控制程序》</w:t>
      </w:r>
      <w:r>
        <w:rPr>
          <w:rFonts w:hint="eastAsia" w:ascii="宋体" w:hAnsi="宋体" w:cs="Arial"/>
          <w:kern w:val="0"/>
          <w:szCs w:val="21"/>
        </w:rPr>
        <w:t>，明确各类基础设施管理职责、购置或建造、维护与检修、报废、特种设备管理、设备运行中的环境因素及安全操作等管理内容。</w:t>
      </w:r>
    </w:p>
    <w:p w14:paraId="5153AACB">
      <w:pPr>
        <w:pStyle w:val="4"/>
      </w:pPr>
      <w:bookmarkStart w:id="92" w:name="_Toc12996"/>
      <w:bookmarkStart w:id="93" w:name="_Toc536539677"/>
      <w:bookmarkStart w:id="94" w:name="OLE_LINK10"/>
      <w:bookmarkStart w:id="95" w:name="OLE_LINK9"/>
      <w:r>
        <w:rPr>
          <w:rFonts w:hint="eastAsia"/>
        </w:rPr>
        <w:t>7.1.4 过程运行环境</w:t>
      </w:r>
      <w:bookmarkEnd w:id="92"/>
      <w:bookmarkEnd w:id="93"/>
    </w:p>
    <w:p w14:paraId="3CDB8F9A">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公司确定、提供和保持其过程运行所需要的环境，以获得合格的产品和服务。</w:t>
      </w:r>
    </w:p>
    <w:p w14:paraId="28890499">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a)公司最高管理层应给员工创造和提供一个良好的工作环境，以发挥全体员工的积极性、创造性和潜能。</w:t>
      </w:r>
    </w:p>
    <w:p w14:paraId="29C06E60">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b)生产现场的环境是实现产品符合性的必要条件，确保生产现场建立和保持一个适宜的环境，包括：整治有序，光线充足，通道畅通，物流有序，定置管理等。</w:t>
      </w:r>
    </w:p>
    <w:p w14:paraId="0D2E384E">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c)保证工作舒适，室内、室外要适当绿化，温度、湿度、清洁度、噪声分贝符合员工高效稳定工作的要求。</w:t>
      </w:r>
    </w:p>
    <w:p w14:paraId="4B892960">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d)工会应关心员工生活，对职业病防治和日常劳动保护工作，工会予以监督、负责。反映员工对工作环境的意见、建议、要求和投诉，并向员工反馈。</w:t>
      </w:r>
    </w:p>
    <w:p w14:paraId="0626A5ED">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e)管理部负责公司内工作环境的检查工作，发现生产进行中工作环境不符合要求时，责任部门和相关人员需立即采取相关措施。</w:t>
      </w:r>
    </w:p>
    <w:p w14:paraId="78460E3B">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f)品质部负责收集并保存对工作环境进行监视、测量、控制和改进措施的成文信息。</w:t>
      </w:r>
    </w:p>
    <w:p w14:paraId="3E4FBFCC">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g)对工作环境（如生产现场、仓库、试验室等）的控制应能够满足相标准、技术规范的要求。如：焊接材料对温湿度、内部施工对通风等环境的要求。</w:t>
      </w:r>
    </w:p>
    <w:p w14:paraId="7A6FEBA6">
      <w:pPr>
        <w:widowControl/>
        <w:spacing w:line="360" w:lineRule="auto"/>
        <w:ind w:firstLine="420" w:firstLineChars="200"/>
        <w:jc w:val="left"/>
        <w:rPr>
          <w:rFonts w:hint="eastAsia" w:ascii="楷体_GB2312" w:hAnsi="宋体" w:eastAsia="楷体_GB2312" w:cs="Arial"/>
          <w:kern w:val="0"/>
          <w:szCs w:val="21"/>
        </w:rPr>
      </w:pPr>
      <w:bookmarkStart w:id="96" w:name="OLE_LINK13"/>
      <w:bookmarkStart w:id="97" w:name="OLE_LINK14"/>
      <w:r>
        <w:rPr>
          <w:rFonts w:hint="eastAsia" w:ascii="楷体_GB2312" w:hAnsi="宋体" w:eastAsia="楷体_GB2312" w:cs="Arial"/>
          <w:kern w:val="0"/>
          <w:szCs w:val="21"/>
        </w:rPr>
        <w:t>根据本公司提供的产品和服务情况，过程运行环境主要有：温度、湿度，制造部、采购部各自负责按</w:t>
      </w:r>
      <w:r>
        <w:rPr>
          <w:rFonts w:hint="eastAsia" w:ascii="楷体_GB2312" w:hAnsi="宋体" w:eastAsia="楷体_GB2312" w:cs="Arial"/>
          <w:kern w:val="0"/>
          <w:szCs w:val="21"/>
          <w:highlight w:val="yellow"/>
        </w:rPr>
        <w:t>《设施和工作环境控制程序》</w:t>
      </w:r>
      <w:r>
        <w:rPr>
          <w:rFonts w:hint="eastAsia" w:ascii="楷体_GB2312" w:hAnsi="宋体" w:eastAsia="楷体_GB2312" w:cs="Arial"/>
          <w:kern w:val="0"/>
          <w:szCs w:val="21"/>
        </w:rPr>
        <w:t>对这些过程运行环境实施监视和测量，并保留监视、测量、控制和改进措施的记录。</w:t>
      </w:r>
    </w:p>
    <w:bookmarkEnd w:id="94"/>
    <w:bookmarkEnd w:id="95"/>
    <w:bookmarkEnd w:id="96"/>
    <w:bookmarkEnd w:id="97"/>
    <w:p w14:paraId="35B4319A">
      <w:pPr>
        <w:pStyle w:val="4"/>
      </w:pPr>
      <w:bookmarkStart w:id="98" w:name="_Toc536539678"/>
      <w:bookmarkStart w:id="99" w:name="_Toc5205"/>
      <w:r>
        <w:rPr>
          <w:rFonts w:hint="eastAsia"/>
        </w:rPr>
        <w:t>7.1.5 监视和测量资源</w:t>
      </w:r>
      <w:bookmarkEnd w:id="98"/>
      <w:bookmarkEnd w:id="99"/>
    </w:p>
    <w:p w14:paraId="0A5938CD">
      <w:pPr>
        <w:pStyle w:val="5"/>
        <w:rPr>
          <w:rFonts w:hint="eastAsia"/>
          <w:kern w:val="0"/>
        </w:rPr>
      </w:pPr>
      <w:r>
        <w:rPr>
          <w:rFonts w:hint="eastAsia"/>
          <w:kern w:val="0"/>
        </w:rPr>
        <w:t>7.1.5.1总则</w:t>
      </w:r>
    </w:p>
    <w:p w14:paraId="126E6887">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品质部应确保公司所配备的监视和测量资源能够满足公司开展进货检验、生产过程检验、出厂检验和试验的要求。</w:t>
      </w:r>
    </w:p>
    <w:p w14:paraId="76CDDE41">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品质部负责建立监视和测量设备台帐，对监视和测量设备送相关单位或自行进行校准或鉴定（验证），对校准或鉴定（验证）状态做明确的标识，并保存好校准或鉴定（验证）的记录/检定证书。当需自行校准或鉴定（验证）时，品质部需规定自行校准的过程、周期、方法、验收准则以及发现问题时需采取的措施等内容。</w:t>
      </w:r>
    </w:p>
    <w:p w14:paraId="2BA72375">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所有监视和测量设备经校准或鉴定（验证）合格后才能使用，在使用时应确保其在校准或鉴定（验证）有效期内，并保证测量不确定度已知且与要求的测量能力相一致。</w:t>
      </w:r>
    </w:p>
    <w:p w14:paraId="1B9BC323">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所有使用和保管检测设备的人员应防止可能导致校准状态和后续测量结果失效的调整、损坏和老化。</w:t>
      </w:r>
    </w:p>
    <w:p w14:paraId="3507AE82">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确保监视和测量设备在适宜的环境下使用、校准或鉴定（验证），以保证监测、校准或鉴定（验证）结果的有效性。</w:t>
      </w:r>
    </w:p>
    <w:p w14:paraId="527247A2">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各使用部门做好监视和测量设备的日常维护，确保在搬运、维护和贮存期间，其准确性和适用性保持完好。</w:t>
      </w:r>
    </w:p>
    <w:p w14:paraId="0EBF54AC">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当发现监视和测量设备不符合要求时，品质部应对先前测量结果的有效性进行评价和记录，并对该检测设备和受影响的产品采取下列措施：</w:t>
      </w:r>
    </w:p>
    <w:p w14:paraId="2C47B046">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a)对失效的监测设备校准、修理或报废等；</w:t>
      </w:r>
    </w:p>
    <w:p w14:paraId="3BEB378F">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b)对已确定测量结果有疑问的产品追回重新测量；</w:t>
      </w:r>
    </w:p>
    <w:p w14:paraId="7258C77F">
      <w:pPr>
        <w:widowControl/>
        <w:spacing w:line="360" w:lineRule="auto"/>
        <w:ind w:firstLine="420" w:firstLineChars="200"/>
        <w:jc w:val="left"/>
        <w:rPr>
          <w:rFonts w:hint="eastAsia" w:ascii="楷体_GB2312" w:hAnsi="宋体" w:eastAsia="楷体_GB2312" w:cs="Arial"/>
          <w:kern w:val="0"/>
          <w:szCs w:val="21"/>
        </w:rPr>
      </w:pPr>
      <w:r>
        <w:rPr>
          <w:rFonts w:hint="eastAsia" w:ascii="宋体" w:hAnsi="宋体" w:cs="Arial"/>
          <w:kern w:val="0"/>
          <w:szCs w:val="21"/>
        </w:rPr>
        <w:t>c)必要时，对已交付的产品进行跟踪、处理</w:t>
      </w:r>
      <w:r>
        <w:rPr>
          <w:rFonts w:hint="eastAsia" w:ascii="楷体_GB2312" w:hAnsi="宋体" w:eastAsia="楷体_GB2312" w:cs="Arial"/>
          <w:kern w:val="0"/>
          <w:szCs w:val="21"/>
        </w:rPr>
        <w:t>。</w:t>
      </w:r>
    </w:p>
    <w:p w14:paraId="398B526C">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cs="Arial"/>
          <w:kern w:val="0"/>
          <w:szCs w:val="21"/>
        </w:rPr>
        <w:t>d)监视和测量资源的配置与监视和测量活动的要求相适应，其计量特性与监视和测量的要求相适应。</w:t>
      </w:r>
    </w:p>
    <w:p w14:paraId="574F117D">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品质部负责组织建立、实施和保持</w:t>
      </w:r>
      <w:r>
        <w:rPr>
          <w:rFonts w:hint="eastAsia" w:ascii="宋体" w:hAnsi="宋体" w:cs="Arial"/>
          <w:kern w:val="0"/>
          <w:szCs w:val="21"/>
          <w:highlight w:val="yellow"/>
        </w:rPr>
        <w:t>《监视和测量设备控制程序》</w:t>
      </w:r>
      <w:r>
        <w:rPr>
          <w:rFonts w:hint="eastAsia" w:ascii="宋体" w:hAnsi="宋体" w:cs="Arial"/>
          <w:kern w:val="0"/>
          <w:szCs w:val="21"/>
        </w:rPr>
        <w:t>，明确检测设备的管理职责、检定或校准、购置、标识、使用、维护和报废等内容。</w:t>
      </w:r>
    </w:p>
    <w:p w14:paraId="64D635EE">
      <w:pPr>
        <w:pStyle w:val="5"/>
        <w:rPr>
          <w:rFonts w:hint="eastAsia"/>
          <w:kern w:val="0"/>
        </w:rPr>
      </w:pPr>
      <w:r>
        <w:rPr>
          <w:rFonts w:hint="eastAsia"/>
          <w:kern w:val="0"/>
        </w:rPr>
        <w:t>7.1.5.2 测量溯源</w:t>
      </w:r>
    </w:p>
    <w:p w14:paraId="7DCD3CF2">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当要求测量溯源时，或公司认为测量溯源是信任测量结果有效的前提时，则测量设备应：</w:t>
      </w:r>
    </w:p>
    <w:p w14:paraId="76D9B919">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 xml:space="preserve">a）对照能溯源到国际或国家标准的测量标准，按照规定的时间间隔或在使用前进行校准和（或）检定。当不存在上述标准时，用于校准或验证依据的成文信息由品质部保留； </w:t>
      </w:r>
    </w:p>
    <w:p w14:paraId="13A67BEC">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b）在用的监视和测量设备经过校准和（或）检定后，都应该带有表明其检定状态的标识予以识别，以确定其状态。严禁使用超过检定有效期、不合格或无标识的测量设备；</w:t>
      </w:r>
    </w:p>
    <w:p w14:paraId="58E89252">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c）确保监视和测量设备的存放有适宜的环境条件，使用监视和测量资源的人员必须按设备操作使用规定进行，使用时做到轻拿轻放，予以保护，不得与工具混放在一起，在使用、搬运、维护和贮存期间，应防止由于调整、损坏或衰减所导致的校准状态和随后的测量结果的失效；</w:t>
      </w:r>
    </w:p>
    <w:p w14:paraId="22276C55">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cs="Arial"/>
          <w:kern w:val="0"/>
          <w:szCs w:val="21"/>
        </w:rPr>
        <w:t>d）按照有关规定进行校准或检定合格，并由品质部保留记录。其中，用于监视和测量的计算机软件，初次使用前应经过验证和确认合格，当对程序进行过修改或发现所监视和测量的数据不稳定或有疑问时予以重新验证和确认，并保留重新验证和确认合格的记录；生产和检验共用的测量设备，用作检验前应加以校准或验证合格，并由检验员保留记录；对一次性使用的测量设备，使用前应进行校准或检定合格，并保留记录。</w:t>
      </w:r>
    </w:p>
    <w:p w14:paraId="3BEA5DBB">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当发现测量设备不符合预期用途时，品质部负责对受影响的测量结果进行重新测量，确定以往测量结果的有效性是否受到不利影响，必要时采取适当的措施。同时将测量设备送交检定机构进行校准和（或）检定，合格后才能使用，品质部负责保持校准和（或）检定结果的记录。</w:t>
      </w:r>
    </w:p>
    <w:p w14:paraId="1BE3CB87">
      <w:pPr>
        <w:pStyle w:val="5"/>
      </w:pPr>
      <w:r>
        <w:rPr>
          <w:rFonts w:hint="eastAsia"/>
        </w:rPr>
        <w:t>7.1.6知识管理</w:t>
      </w:r>
    </w:p>
    <w:p w14:paraId="6685FA42">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公司确定运行过程所需的知识，以获得合格产品和服务。这些知识是公司特有的知识，通常通过长期的经营管理、科研生产等活动经验中获得，是实现公司经营方向和目标所使用和共享的信息。知识的来源和内容可能包括：</w:t>
      </w:r>
    </w:p>
    <w:p w14:paraId="4AA9074C">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a)内部来源（例如知识产权；从经验获得的知识；与产品和服务有关的成熟技术，含专利技术、科研成果、工艺成果、检测手段、成功案例、典型质量问题等；从失败和成功项目得到的经验和教训；获取和分享未形成文件的知识和经验，过程、产品和服务的改进结果等）；</w:t>
      </w:r>
    </w:p>
    <w:p w14:paraId="33730630">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b)外部来源（例如标准；学术交流；专业会议，从顾客或外部供方收集的知识等）。</w:t>
      </w:r>
    </w:p>
    <w:p w14:paraId="40745449">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有关知识产权、学术交流等涉及技术、学术、工艺技术性等技术性的知识由研发部归口管理；涉及经营管理性的知识由营销部归口管理。公司对这些知识通过与国家情报部门、标准化组织建立联系、建立知识库、档案室、数据库、网上发布、传帮带等多种方式，收集或形成成文信息予以保持，并在需要范围内可得到。</w:t>
      </w:r>
    </w:p>
    <w:p w14:paraId="20DFA798">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为应对不断变化的需求和发展趋势，公司每年一次审视现有的知识，确定如何获取或接触更多必要的知识，并进行所要求的知识更新。</w:t>
      </w:r>
    </w:p>
    <w:p w14:paraId="3226CEC8">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cs="Arial"/>
          <w:kern w:val="0"/>
          <w:szCs w:val="21"/>
        </w:rPr>
        <w:t>研发部负责将与产品和服务质量相关的法规、标准、文件作为必备知识，予以应用、保持并适时更新。</w:t>
      </w:r>
    </w:p>
    <w:p w14:paraId="67E6B02D">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研发部负责建立、实施并保持</w:t>
      </w:r>
      <w:r>
        <w:rPr>
          <w:rFonts w:hint="eastAsia" w:ascii="宋体" w:hAnsi="宋体" w:cs="Arial"/>
          <w:kern w:val="0"/>
          <w:szCs w:val="21"/>
          <w:highlight w:val="yellow"/>
        </w:rPr>
        <w:t>《知识管理过程控制程序》</w:t>
      </w:r>
      <w:r>
        <w:rPr>
          <w:rFonts w:hint="eastAsia" w:ascii="宋体" w:hAnsi="宋体" w:cs="Arial"/>
          <w:kern w:val="0"/>
          <w:szCs w:val="21"/>
        </w:rPr>
        <w:t>，明确知识管理的职责、知识收集的渠道和方法、知识信息的发布和传递、知识的利用和推广、知识的更新和废止等内容。</w:t>
      </w:r>
    </w:p>
    <w:p w14:paraId="490C7B6F">
      <w:pPr>
        <w:pStyle w:val="3"/>
      </w:pPr>
      <w:bookmarkStart w:id="100" w:name="_Toc536539679"/>
      <w:bookmarkStart w:id="101" w:name="_Toc26840"/>
      <w:r>
        <w:rPr>
          <w:rFonts w:hint="eastAsia"/>
        </w:rPr>
        <w:t>7.2 能力</w:t>
      </w:r>
      <w:bookmarkEnd w:id="100"/>
      <w:bookmarkEnd w:id="101"/>
    </w:p>
    <w:p w14:paraId="73D5E879">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公司应：</w:t>
      </w:r>
    </w:p>
    <w:p w14:paraId="35E62C00">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a) 公司</w:t>
      </w:r>
      <w:r>
        <w:rPr>
          <w:rFonts w:hint="eastAsia" w:ascii="宋体" w:cs="宋体"/>
          <w:kern w:val="0"/>
          <w:sz w:val="24"/>
        </w:rPr>
        <w:t>建立与体系运行和产品质量有关的各级岗位，</w:t>
      </w:r>
      <w:r>
        <w:rPr>
          <w:rFonts w:hint="eastAsia" w:ascii="宋体" w:hAnsi="宋体" w:cs="Arial"/>
          <w:kern w:val="0"/>
          <w:szCs w:val="21"/>
        </w:rPr>
        <w:t>管理部负责制定、实施并保持</w:t>
      </w:r>
      <w:r>
        <w:rPr>
          <w:rFonts w:hint="eastAsia" w:ascii="宋体" w:hAnsi="宋体" w:cs="Arial"/>
          <w:kern w:val="0"/>
          <w:szCs w:val="21"/>
          <w:highlight w:val="yellow"/>
        </w:rPr>
        <w:t>《岗位工作人员任职要求》</w:t>
      </w:r>
      <w:r>
        <w:rPr>
          <w:rFonts w:hint="eastAsia" w:ascii="宋体" w:hAnsi="宋体" w:cs="Arial"/>
          <w:kern w:val="0"/>
          <w:szCs w:val="21"/>
        </w:rPr>
        <w:t>，明确各岗位的任职条件，以确定在公司控制范围内从事影响质量管理体系绩效和有效性的人员所需的能力，</w:t>
      </w:r>
      <w:r>
        <w:rPr>
          <w:rFonts w:hint="eastAsia" w:ascii="宋体" w:cs="宋体"/>
          <w:kern w:val="0"/>
          <w:sz w:val="24"/>
        </w:rPr>
        <w:t>将组织内部所有直接或间接影响产品要求符合性的工作人员，纳入质量管理体系的范围；</w:t>
      </w:r>
    </w:p>
    <w:p w14:paraId="4B95A21D">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b)基于适当的教育、培训和经验，确保这些人员是胜任的；</w:t>
      </w:r>
    </w:p>
    <w:p w14:paraId="1AE9E4E5">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c)适用时，采取措施以获得所需的能力，并评价这些措施的有效性；这些措施包括：聘用或雇用能够胜任的人员、为员工提供教育培训的机会、师傅带徒、人力资源的重新配置、委外进行资质培训等。</w:t>
      </w:r>
    </w:p>
    <w:p w14:paraId="2F408F98">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d)管理部应保持人员能力满足要求的证据。如人员资质、培训记录、考评记录等。</w:t>
      </w:r>
    </w:p>
    <w:p w14:paraId="720503DF">
      <w:pPr>
        <w:tabs>
          <w:tab w:val="left" w:pos="1200"/>
        </w:tabs>
        <w:spacing w:line="500" w:lineRule="exact"/>
        <w:ind w:firstLine="420" w:firstLineChars="200"/>
        <w:rPr>
          <w:rFonts w:hint="eastAsia" w:ascii="楷体_GB2312" w:hAnsi="宋体" w:eastAsia="楷体_GB2312"/>
          <w:szCs w:val="21"/>
        </w:rPr>
      </w:pPr>
      <w:r>
        <w:rPr>
          <w:rFonts w:hint="eastAsia" w:ascii="楷体_GB2312" w:hAnsi="宋体" w:eastAsia="楷体_GB2312" w:cs="Arial"/>
          <w:kern w:val="0"/>
          <w:szCs w:val="21"/>
        </w:rPr>
        <w:t>e</w:t>
      </w:r>
      <w:r>
        <w:rPr>
          <w:rFonts w:ascii="楷体_GB2312" w:hAnsi="宋体" w:eastAsia="楷体_GB2312"/>
          <w:szCs w:val="21"/>
        </w:rPr>
        <w:t>对各级管理者以及对产品质量有影响的人员，</w:t>
      </w:r>
      <w:r>
        <w:rPr>
          <w:rFonts w:hint="eastAsia" w:ascii="楷体_GB2312" w:hAnsi="宋体" w:eastAsia="楷体_GB2312"/>
          <w:szCs w:val="21"/>
        </w:rPr>
        <w:t>每年一次进行有关质量管理知识的培训考核，其它人员每三年进行一次；对特种作业人员组织资格确认，并按国家、行业或公司内部规定持证上岗。</w:t>
      </w:r>
    </w:p>
    <w:p w14:paraId="0AA8E055">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公司制定、实施和保持</w:t>
      </w:r>
      <w:r>
        <w:rPr>
          <w:rFonts w:hint="eastAsia" w:ascii="宋体" w:hAnsi="宋体" w:cs="Arial"/>
          <w:kern w:val="0"/>
          <w:szCs w:val="21"/>
          <w:highlight w:val="yellow"/>
        </w:rPr>
        <w:t>《人力资源控制程序》</w:t>
      </w:r>
      <w:r>
        <w:rPr>
          <w:rFonts w:hint="eastAsia" w:ascii="宋体" w:hAnsi="宋体" w:cs="Arial"/>
          <w:kern w:val="0"/>
          <w:szCs w:val="21"/>
        </w:rPr>
        <w:t>，对各级管理者以及对产品质量有影响的人员年终由人力资源部进行培训、考核，并按规定要求持证上岗。</w:t>
      </w:r>
    </w:p>
    <w:p w14:paraId="3A9C0B0F">
      <w:pPr>
        <w:pStyle w:val="3"/>
        <w:rPr>
          <w:kern w:val="0"/>
        </w:rPr>
      </w:pPr>
      <w:bookmarkStart w:id="102" w:name="_Toc30489"/>
      <w:bookmarkStart w:id="103" w:name="_Toc536539680"/>
      <w:r>
        <w:rPr>
          <w:rFonts w:hint="eastAsia"/>
          <w:kern w:val="0"/>
        </w:rPr>
        <w:t>7.3 意识</w:t>
      </w:r>
      <w:bookmarkEnd w:id="102"/>
      <w:bookmarkEnd w:id="103"/>
    </w:p>
    <w:p w14:paraId="7262639F">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为确保公司的质量管理体系有效运行，管理部应组织各部门开展教育、培训、师傅带徒、岗位轮训等活动，确保在公司控制下工作的人员理解并认识到：</w:t>
      </w:r>
    </w:p>
    <w:p w14:paraId="6C565D0D">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a)质量方针；</w:t>
      </w:r>
    </w:p>
    <w:p w14:paraId="5217DE74">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b)相关的管理目标；</w:t>
      </w:r>
    </w:p>
    <w:p w14:paraId="401A68CE">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c)他们对质量管理体系有效性的贡献，包括改进绩效的好处；</w:t>
      </w:r>
    </w:p>
    <w:p w14:paraId="06B3765F">
      <w:pPr>
        <w:widowControl/>
        <w:spacing w:line="360" w:lineRule="auto"/>
        <w:ind w:firstLine="420" w:firstLineChars="200"/>
        <w:jc w:val="left"/>
        <w:rPr>
          <w:rFonts w:hint="eastAsia" w:ascii="宋体" w:hAnsi="宋体" w:cs="Arial"/>
          <w:kern w:val="0"/>
          <w:szCs w:val="21"/>
          <w:lang w:val="ru-RU"/>
        </w:rPr>
      </w:pPr>
      <w:r>
        <w:rPr>
          <w:rFonts w:hint="eastAsia" w:ascii="宋体" w:hAnsi="宋体" w:cs="Arial"/>
          <w:kern w:val="0"/>
          <w:szCs w:val="21"/>
        </w:rPr>
        <w:t>d)偏离管理体系要求的后果。</w:t>
      </w:r>
    </w:p>
    <w:p w14:paraId="3815F548">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cs="Arial"/>
          <w:kern w:val="0"/>
          <w:szCs w:val="21"/>
        </w:rPr>
        <w:t>e)公司的质量文化；</w:t>
      </w:r>
    </w:p>
    <w:p w14:paraId="4271E18D">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cs="Arial"/>
          <w:kern w:val="0"/>
          <w:szCs w:val="21"/>
        </w:rPr>
        <w:t>f)岗位的质量职责和责任；</w:t>
      </w:r>
    </w:p>
    <w:p w14:paraId="5128FDFC">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cs="Arial"/>
          <w:kern w:val="0"/>
          <w:szCs w:val="21"/>
        </w:rPr>
        <w:t>g)所从事活动的重要性以及与其他活动的相关性；</w:t>
      </w:r>
    </w:p>
    <w:p w14:paraId="78C57A10">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cs="Arial"/>
          <w:kern w:val="0"/>
          <w:szCs w:val="21"/>
        </w:rPr>
        <w:t>h)产品和服务不满足规定或预期要求的后果；</w:t>
      </w:r>
    </w:p>
    <w:p w14:paraId="493A9A47">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cs="Arial"/>
          <w:kern w:val="0"/>
          <w:szCs w:val="21"/>
        </w:rPr>
        <w:t>i)道德行为的重要性。</w:t>
      </w:r>
    </w:p>
    <w:p w14:paraId="51939845">
      <w:pPr>
        <w:pStyle w:val="3"/>
        <w:rPr>
          <w:rFonts w:hint="eastAsia"/>
        </w:rPr>
      </w:pPr>
      <w:bookmarkStart w:id="104" w:name="_Toc536539681"/>
      <w:bookmarkStart w:id="105" w:name="_Toc678"/>
      <w:r>
        <w:rPr>
          <w:rFonts w:hint="eastAsia"/>
        </w:rPr>
        <w:t>7.4 沟通</w:t>
      </w:r>
      <w:bookmarkEnd w:id="104"/>
      <w:bookmarkEnd w:id="105"/>
    </w:p>
    <w:p w14:paraId="22129005">
      <w:pPr>
        <w:pStyle w:val="4"/>
      </w:pPr>
      <w:bookmarkStart w:id="106" w:name="_Toc536539682"/>
      <w:bookmarkStart w:id="107" w:name="_Toc28671"/>
      <w:r>
        <w:rPr>
          <w:rFonts w:hint="eastAsia"/>
        </w:rPr>
        <w:t>7.4.1 总则</w:t>
      </w:r>
      <w:bookmarkEnd w:id="106"/>
      <w:bookmarkEnd w:id="107"/>
    </w:p>
    <w:p w14:paraId="36348A36">
      <w:pPr>
        <w:autoSpaceDE w:val="0"/>
        <w:autoSpaceDN w:val="0"/>
        <w:adjustRightInd w:val="0"/>
        <w:spacing w:line="500" w:lineRule="exact"/>
        <w:ind w:firstLine="424" w:firstLineChars="202"/>
        <w:jc w:val="left"/>
        <w:rPr>
          <w:rFonts w:ascii="宋体" w:hAnsi="宋体"/>
          <w:kern w:val="0"/>
          <w:szCs w:val="21"/>
          <w:lang w:val="ru-RU"/>
        </w:rPr>
      </w:pPr>
      <w:r>
        <w:rPr>
          <w:rFonts w:hint="eastAsia" w:ascii="宋体" w:hAnsi="宋体"/>
          <w:kern w:val="0"/>
          <w:szCs w:val="21"/>
          <w:lang w:val="ru-RU"/>
        </w:rPr>
        <w:t>公司</w:t>
      </w:r>
      <w:r>
        <w:rPr>
          <w:rFonts w:hint="eastAsia" w:ascii="宋体" w:hAnsi="宋体" w:cs="宋体"/>
          <w:kern w:val="0"/>
          <w:szCs w:val="21"/>
          <w:lang w:val="ru-RU"/>
        </w:rPr>
        <w:t>确保建立</w:t>
      </w:r>
      <w:r>
        <w:rPr>
          <w:rFonts w:hint="eastAsia" w:ascii="宋体" w:hAnsi="宋体"/>
          <w:kern w:val="0"/>
          <w:szCs w:val="21"/>
          <w:lang w:val="ru-RU"/>
        </w:rPr>
        <w:t>顺畅</w:t>
      </w:r>
      <w:r>
        <w:rPr>
          <w:rFonts w:hint="eastAsia" w:ascii="宋体" w:hAnsi="宋体" w:cs="宋体"/>
          <w:kern w:val="0"/>
          <w:szCs w:val="21"/>
          <w:lang w:val="ru-RU"/>
        </w:rPr>
        <w:t>的沟通过程，</w:t>
      </w:r>
      <w:r>
        <w:rPr>
          <w:rFonts w:hint="eastAsia" w:ascii="宋体" w:hAnsi="宋体"/>
          <w:kern w:val="0"/>
          <w:szCs w:val="21"/>
          <w:lang w:val="ru-RU"/>
        </w:rPr>
        <w:t>采用传真、电话、</w:t>
      </w:r>
      <w:r>
        <w:rPr>
          <w:rFonts w:hint="eastAsia" w:ascii="宋体" w:hAnsi="宋体" w:cs="宋体"/>
          <w:kern w:val="0"/>
          <w:szCs w:val="21"/>
          <w:lang w:val="ru-RU"/>
        </w:rPr>
        <w:t>网络、会议、文件、简报</w:t>
      </w:r>
      <w:r>
        <w:rPr>
          <w:rFonts w:hint="eastAsia" w:ascii="宋体" w:hAnsi="宋体"/>
          <w:kern w:val="0"/>
          <w:szCs w:val="21"/>
          <w:lang w:val="ru-RU"/>
        </w:rPr>
        <w:t>、质量信息单、联系单</w:t>
      </w:r>
      <w:r>
        <w:rPr>
          <w:rFonts w:hint="eastAsia" w:ascii="宋体" w:hAnsi="宋体" w:cs="宋体"/>
          <w:kern w:val="0"/>
          <w:szCs w:val="21"/>
          <w:lang w:val="ru-RU"/>
        </w:rPr>
        <w:t>等方式</w:t>
      </w:r>
      <w:r>
        <w:rPr>
          <w:rFonts w:hint="eastAsia" w:ascii="宋体" w:hAnsi="宋体"/>
          <w:kern w:val="0"/>
          <w:szCs w:val="21"/>
          <w:lang w:val="ru-RU"/>
        </w:rPr>
        <w:t>，确定与</w:t>
      </w:r>
      <w:r>
        <w:rPr>
          <w:rFonts w:hint="eastAsia" w:ascii="宋体" w:hAnsi="宋体" w:cs="宋体"/>
          <w:kern w:val="0"/>
          <w:szCs w:val="21"/>
          <w:lang w:val="ru-RU"/>
        </w:rPr>
        <w:t>质量管理体系</w:t>
      </w:r>
      <w:r>
        <w:rPr>
          <w:rFonts w:hint="eastAsia" w:ascii="宋体" w:hAnsi="宋体"/>
          <w:kern w:val="0"/>
          <w:szCs w:val="21"/>
          <w:lang w:val="ru-RU"/>
        </w:rPr>
        <w:t>相关的内部和外部沟通</w:t>
      </w:r>
      <w:r>
        <w:rPr>
          <w:rFonts w:hint="eastAsia" w:ascii="宋体" w:hAnsi="宋体" w:cs="宋体"/>
          <w:kern w:val="0"/>
          <w:szCs w:val="21"/>
          <w:lang w:val="ru-RU"/>
        </w:rPr>
        <w:t>，沟通前可制定必要的沟通计划，明确沟通项目，计划包括：</w:t>
      </w:r>
    </w:p>
    <w:p w14:paraId="254DB71F">
      <w:pPr>
        <w:autoSpaceDE w:val="0"/>
        <w:autoSpaceDN w:val="0"/>
        <w:adjustRightInd w:val="0"/>
        <w:spacing w:line="500" w:lineRule="exact"/>
        <w:ind w:firstLine="424" w:firstLineChars="202"/>
        <w:jc w:val="left"/>
        <w:rPr>
          <w:rFonts w:ascii="宋体" w:hAnsi="宋体"/>
          <w:kern w:val="0"/>
          <w:szCs w:val="21"/>
          <w:lang w:val="ru-RU"/>
        </w:rPr>
      </w:pPr>
      <w:r>
        <w:rPr>
          <w:rFonts w:hint="eastAsia" w:ascii="宋体" w:hAnsi="宋体" w:cs="宋体"/>
          <w:kern w:val="0"/>
          <w:szCs w:val="21"/>
          <w:lang w:val="ru-RU"/>
        </w:rPr>
        <w:t>a)沟通什么内容；</w:t>
      </w:r>
    </w:p>
    <w:p w14:paraId="61C7A754">
      <w:pPr>
        <w:autoSpaceDE w:val="0"/>
        <w:autoSpaceDN w:val="0"/>
        <w:adjustRightInd w:val="0"/>
        <w:spacing w:line="500" w:lineRule="exact"/>
        <w:ind w:firstLine="424" w:firstLineChars="202"/>
        <w:jc w:val="left"/>
        <w:rPr>
          <w:rFonts w:hint="eastAsia" w:ascii="宋体" w:hAnsi="宋体" w:cs="宋体"/>
          <w:kern w:val="0"/>
          <w:szCs w:val="21"/>
          <w:lang w:val="ru-RU"/>
        </w:rPr>
      </w:pPr>
      <w:r>
        <w:rPr>
          <w:rFonts w:hint="eastAsia" w:ascii="宋体" w:hAnsi="宋体"/>
          <w:kern w:val="0"/>
          <w:szCs w:val="21"/>
          <w:lang w:val="ru-RU"/>
        </w:rPr>
        <w:t>b)</w:t>
      </w:r>
      <w:r>
        <w:rPr>
          <w:rFonts w:hint="eastAsia" w:ascii="宋体" w:hAnsi="宋体" w:cs="宋体"/>
          <w:kern w:val="0"/>
          <w:szCs w:val="21"/>
          <w:lang w:val="ru-RU"/>
        </w:rPr>
        <w:t>何时进行沟通；</w:t>
      </w:r>
    </w:p>
    <w:p w14:paraId="57EC4EB6">
      <w:pPr>
        <w:autoSpaceDE w:val="0"/>
        <w:autoSpaceDN w:val="0"/>
        <w:adjustRightInd w:val="0"/>
        <w:spacing w:line="500" w:lineRule="exact"/>
        <w:ind w:firstLine="424" w:firstLineChars="202"/>
        <w:jc w:val="left"/>
        <w:rPr>
          <w:rFonts w:ascii="宋体" w:hAnsi="宋体"/>
          <w:kern w:val="0"/>
          <w:szCs w:val="21"/>
          <w:lang w:val="ru-RU"/>
        </w:rPr>
      </w:pPr>
      <w:r>
        <w:rPr>
          <w:rFonts w:hint="eastAsia" w:ascii="宋体" w:hAnsi="宋体"/>
          <w:kern w:val="0"/>
          <w:szCs w:val="21"/>
          <w:lang w:val="ru-RU"/>
        </w:rPr>
        <w:t>c)</w:t>
      </w:r>
      <w:r>
        <w:rPr>
          <w:rFonts w:hint="eastAsia" w:ascii="宋体" w:hAnsi="宋体" w:cs="宋体"/>
          <w:kern w:val="0"/>
          <w:szCs w:val="21"/>
          <w:lang w:val="ru-RU"/>
        </w:rPr>
        <w:t>与哪个单位、部门或主管人员进行沟通；</w:t>
      </w:r>
    </w:p>
    <w:p w14:paraId="3E6FD2F9">
      <w:pPr>
        <w:autoSpaceDE w:val="0"/>
        <w:autoSpaceDN w:val="0"/>
        <w:adjustRightInd w:val="0"/>
        <w:spacing w:line="500" w:lineRule="exact"/>
        <w:ind w:firstLine="424" w:firstLineChars="202"/>
        <w:jc w:val="left"/>
        <w:rPr>
          <w:rFonts w:ascii="宋体" w:hAnsi="宋体"/>
          <w:kern w:val="0"/>
          <w:szCs w:val="21"/>
          <w:lang w:val="ru-RU"/>
        </w:rPr>
      </w:pPr>
      <w:r>
        <w:rPr>
          <w:rFonts w:hint="eastAsia" w:ascii="宋体" w:hAnsi="宋体"/>
          <w:kern w:val="0"/>
          <w:szCs w:val="21"/>
          <w:lang w:val="ru-RU"/>
        </w:rPr>
        <w:t>d)</w:t>
      </w:r>
      <w:r>
        <w:rPr>
          <w:rFonts w:hint="eastAsia" w:ascii="宋体" w:hAnsi="宋体" w:cs="宋体"/>
          <w:kern w:val="0"/>
          <w:szCs w:val="21"/>
          <w:lang w:val="ru-RU"/>
        </w:rPr>
        <w:t>采用何种方式进行沟通；</w:t>
      </w:r>
    </w:p>
    <w:p w14:paraId="65F6C7B4">
      <w:pPr>
        <w:autoSpaceDE w:val="0"/>
        <w:autoSpaceDN w:val="0"/>
        <w:adjustRightInd w:val="0"/>
        <w:spacing w:line="500" w:lineRule="exact"/>
        <w:ind w:firstLine="424" w:firstLineChars="202"/>
        <w:jc w:val="left"/>
        <w:rPr>
          <w:rFonts w:hint="eastAsia" w:ascii="宋体" w:hAnsi="宋体"/>
          <w:kern w:val="0"/>
          <w:szCs w:val="21"/>
          <w:lang w:val="ru-RU"/>
        </w:rPr>
      </w:pPr>
      <w:r>
        <w:rPr>
          <w:rFonts w:hint="eastAsia" w:ascii="宋体" w:hAnsi="宋体"/>
          <w:kern w:val="0"/>
          <w:szCs w:val="21"/>
          <w:lang w:val="ru-RU"/>
        </w:rPr>
        <w:t>e)</w:t>
      </w:r>
      <w:r>
        <w:rPr>
          <w:rFonts w:hint="eastAsia" w:ascii="宋体" w:hAnsi="宋体" w:cs="宋体"/>
          <w:kern w:val="0"/>
          <w:szCs w:val="21"/>
          <w:lang w:val="ru-RU"/>
        </w:rPr>
        <w:t>由哪个部门或主管人员负责沟通；</w:t>
      </w:r>
    </w:p>
    <w:p w14:paraId="52A2652B">
      <w:pPr>
        <w:autoSpaceDE w:val="0"/>
        <w:autoSpaceDN w:val="0"/>
        <w:adjustRightInd w:val="0"/>
        <w:spacing w:line="500" w:lineRule="exact"/>
        <w:ind w:firstLine="424" w:firstLineChars="202"/>
        <w:jc w:val="left"/>
        <w:rPr>
          <w:rFonts w:hint="eastAsia" w:ascii="宋体" w:hAnsi="宋体"/>
          <w:kern w:val="0"/>
          <w:szCs w:val="21"/>
          <w:lang w:val="ru-RU"/>
        </w:rPr>
      </w:pPr>
      <w:r>
        <w:rPr>
          <w:rFonts w:hint="eastAsia" w:ascii="楷体_GB2312" w:hAnsi="宋体" w:eastAsia="楷体_GB2312"/>
          <w:kern w:val="0"/>
          <w:szCs w:val="21"/>
          <w:lang w:val="ru-RU"/>
        </w:rPr>
        <w:t>f)</w:t>
      </w:r>
      <w:r>
        <w:rPr>
          <w:rFonts w:hint="eastAsia" w:ascii="楷体_GB2312" w:hAnsi="宋体" w:eastAsia="楷体_GB2312" w:cs="Arial"/>
          <w:kern w:val="0"/>
          <w:szCs w:val="21"/>
          <w:lang w:val="ru-RU"/>
        </w:rPr>
        <w:t>需要保留的记录。</w:t>
      </w:r>
    </w:p>
    <w:p w14:paraId="1B7D7488">
      <w:pPr>
        <w:spacing w:line="500" w:lineRule="exact"/>
        <w:ind w:left="99" w:leftChars="47" w:firstLine="411" w:firstLineChars="196"/>
        <w:rPr>
          <w:rFonts w:hint="eastAsia" w:ascii="宋体" w:hAnsi="宋体" w:cs="Arial"/>
          <w:kern w:val="0"/>
          <w:szCs w:val="21"/>
          <w:lang w:val="ru-RU"/>
        </w:rPr>
      </w:pPr>
      <w:r>
        <w:rPr>
          <w:rFonts w:hint="eastAsia" w:ascii="宋体" w:hAnsi="宋体" w:cs="Arial"/>
          <w:kern w:val="0"/>
          <w:szCs w:val="21"/>
          <w:lang w:val="ru-RU"/>
        </w:rPr>
        <w:t>品质部协助各部门职责范围的沟通和评价及沟通的有效性，并保持有关沟通的证据和沟通信息的保密。</w:t>
      </w:r>
    </w:p>
    <w:p w14:paraId="71EA1340">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总经理确保在公司内建立适当的沟通过程，确定与管理体系相关内部和外部沟通的需求。管理部负责组织建立、实施和保持</w:t>
      </w:r>
      <w:r>
        <w:rPr>
          <w:rFonts w:hint="eastAsia" w:ascii="宋体" w:hAnsi="宋体" w:cs="Arial"/>
          <w:kern w:val="0"/>
          <w:szCs w:val="21"/>
          <w:highlight w:val="yellow"/>
          <w:lang w:val="ru-RU"/>
        </w:rPr>
        <w:t>《信息交流与沟通过程控制程序》</w:t>
      </w:r>
      <w:r>
        <w:rPr>
          <w:rFonts w:hint="eastAsia" w:ascii="宋体" w:hAnsi="宋体" w:cs="Arial"/>
          <w:kern w:val="0"/>
          <w:szCs w:val="21"/>
        </w:rPr>
        <w:t>，以明确公司内外部沟通的内容、时机、对象、方法和由谁负责等内容。</w:t>
      </w:r>
    </w:p>
    <w:p w14:paraId="3B6ECD24">
      <w:pPr>
        <w:pStyle w:val="3"/>
      </w:pPr>
      <w:bookmarkStart w:id="108" w:name="_Toc7972"/>
      <w:bookmarkStart w:id="109" w:name="_Toc536539683"/>
      <w:r>
        <w:rPr>
          <w:rFonts w:hint="eastAsia"/>
        </w:rPr>
        <w:t>7.5 成文信息</w:t>
      </w:r>
      <w:bookmarkEnd w:id="108"/>
      <w:bookmarkEnd w:id="109"/>
    </w:p>
    <w:p w14:paraId="035FED55">
      <w:pPr>
        <w:pStyle w:val="4"/>
      </w:pPr>
      <w:bookmarkStart w:id="110" w:name="_Toc536539684"/>
      <w:bookmarkStart w:id="111" w:name="_Toc30358"/>
      <w:r>
        <w:rPr>
          <w:rFonts w:hint="eastAsia"/>
        </w:rPr>
        <w:t>7.5.1 总则</w:t>
      </w:r>
      <w:bookmarkEnd w:id="110"/>
      <w:bookmarkEnd w:id="111"/>
    </w:p>
    <w:p w14:paraId="7BAC8821">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公司的质量管理体系包括了满足GB/T19001-2016 idt ISO9001:2015、GJB9001C-2017标准所要求的文件信息；公司为确保质量管理体系有效运行而确定的所需的成文信息。本公司质量管理体系文件信息包括：</w:t>
      </w:r>
    </w:p>
    <w:p w14:paraId="6B94209B">
      <w:pPr>
        <w:widowControl/>
        <w:numPr>
          <w:ilvl w:val="0"/>
          <w:numId w:val="8"/>
        </w:numPr>
        <w:spacing w:line="360" w:lineRule="auto"/>
        <w:jc w:val="left"/>
        <w:rPr>
          <w:rFonts w:hint="eastAsia" w:ascii="宋体" w:hAnsi="宋体" w:cs="Arial"/>
          <w:kern w:val="0"/>
          <w:szCs w:val="21"/>
        </w:rPr>
      </w:pPr>
      <w:r>
        <w:rPr>
          <w:rFonts w:hint="eastAsia" w:ascii="宋体" w:hAnsi="宋体" w:cs="Arial"/>
          <w:kern w:val="0"/>
          <w:szCs w:val="21"/>
        </w:rPr>
        <w:t>质量方针和目标；</w:t>
      </w:r>
    </w:p>
    <w:p w14:paraId="3D16843A">
      <w:pPr>
        <w:widowControl/>
        <w:numPr>
          <w:ilvl w:val="0"/>
          <w:numId w:val="8"/>
        </w:numPr>
        <w:spacing w:line="360" w:lineRule="auto"/>
        <w:jc w:val="left"/>
        <w:rPr>
          <w:rFonts w:hint="eastAsia" w:ascii="宋体" w:hAnsi="宋体" w:cs="Arial"/>
          <w:kern w:val="0"/>
          <w:szCs w:val="21"/>
        </w:rPr>
      </w:pPr>
      <w:r>
        <w:rPr>
          <w:rFonts w:hint="eastAsia" w:ascii="宋体" w:hAnsi="宋体" w:cs="Arial"/>
          <w:kern w:val="0"/>
          <w:szCs w:val="21"/>
        </w:rPr>
        <w:t>质量手册；</w:t>
      </w:r>
    </w:p>
    <w:p w14:paraId="536C131D">
      <w:pPr>
        <w:widowControl/>
        <w:numPr>
          <w:ilvl w:val="0"/>
          <w:numId w:val="8"/>
        </w:numPr>
        <w:spacing w:line="360" w:lineRule="auto"/>
        <w:jc w:val="left"/>
        <w:rPr>
          <w:rFonts w:hint="eastAsia" w:ascii="宋体" w:hAnsi="宋体" w:cs="Arial"/>
          <w:kern w:val="0"/>
          <w:szCs w:val="21"/>
        </w:rPr>
      </w:pPr>
      <w:r>
        <w:rPr>
          <w:rFonts w:hint="eastAsia" w:ascii="宋体" w:hAnsi="宋体" w:cs="Arial"/>
          <w:kern w:val="0"/>
          <w:szCs w:val="21"/>
        </w:rPr>
        <w:t>过程控制程序；</w:t>
      </w:r>
    </w:p>
    <w:p w14:paraId="15FFD5CB">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d)为确保管理体系有效运作的文件，包括管理制度、技术文件（图纸、工艺、检验规范、作业指导书等）、外来文件（上级和政府来文、外来的产品技术标准、顾客提供的图纸等技术资料等）；</w:t>
      </w:r>
    </w:p>
    <w:p w14:paraId="26E574A1">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e) 为确保管理体系有效运作的记录。</w:t>
      </w:r>
    </w:p>
    <w:p w14:paraId="00BF119E">
      <w:pPr>
        <w:pStyle w:val="147"/>
        <w:widowControl w:val="0"/>
        <w:autoSpaceDE w:val="0"/>
        <w:autoSpaceDN w:val="0"/>
        <w:adjustRightInd w:val="0"/>
        <w:spacing w:before="0" w:after="0" w:line="500" w:lineRule="exact"/>
        <w:ind w:firstLine="420" w:firstLineChars="20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公司质量管理体系的成文信息，采用质量手册、程序文件、图样、工艺文件、作业指导书和记录等文件形式</w:t>
      </w:r>
      <w:r>
        <w:rPr>
          <w:rFonts w:hint="eastAsia" w:ascii="楷体_GB2312" w:hAnsi="宋体" w:eastAsia="楷体_GB2312" w:cs="宋体"/>
          <w:sz w:val="21"/>
          <w:szCs w:val="21"/>
          <w:lang w:eastAsia="zh-CN"/>
        </w:rPr>
        <w:t>。</w:t>
      </w:r>
    </w:p>
    <w:p w14:paraId="22095B9C">
      <w:pPr>
        <w:pStyle w:val="4"/>
      </w:pPr>
      <w:bookmarkStart w:id="112" w:name="_Toc8784"/>
      <w:bookmarkStart w:id="113" w:name="_Toc536539685"/>
      <w:r>
        <w:rPr>
          <w:rFonts w:hint="eastAsia"/>
        </w:rPr>
        <w:t>7.5.2 创建和更新</w:t>
      </w:r>
      <w:bookmarkEnd w:id="112"/>
      <w:bookmarkEnd w:id="113"/>
    </w:p>
    <w:p w14:paraId="631587D9">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在编制和更新文件的信息时，各文件控制和使用部门应确保适当的：</w:t>
      </w:r>
    </w:p>
    <w:p w14:paraId="42257394">
      <w:pPr>
        <w:widowControl/>
        <w:numPr>
          <w:ilvl w:val="1"/>
          <w:numId w:val="9"/>
        </w:numPr>
        <w:spacing w:line="360" w:lineRule="auto"/>
        <w:ind w:hanging="834"/>
        <w:jc w:val="left"/>
        <w:rPr>
          <w:rFonts w:ascii="宋体" w:hAnsi="宋体" w:cs="Arial"/>
          <w:kern w:val="0"/>
          <w:szCs w:val="21"/>
        </w:rPr>
      </w:pPr>
      <w:r>
        <w:rPr>
          <w:rFonts w:hint="eastAsia" w:ascii="宋体" w:hAnsi="宋体" w:cs="Arial"/>
          <w:kern w:val="0"/>
          <w:szCs w:val="21"/>
        </w:rPr>
        <w:t>标识和说明（例如：标题、日期、作者、索引编号等）</w:t>
      </w:r>
    </w:p>
    <w:p w14:paraId="65D537D9">
      <w:pPr>
        <w:widowControl/>
        <w:numPr>
          <w:ilvl w:val="1"/>
          <w:numId w:val="9"/>
        </w:numPr>
        <w:spacing w:line="360" w:lineRule="auto"/>
        <w:ind w:hanging="834"/>
        <w:jc w:val="left"/>
        <w:rPr>
          <w:rFonts w:ascii="宋体" w:hAnsi="宋体" w:cs="Arial"/>
          <w:kern w:val="0"/>
          <w:szCs w:val="21"/>
        </w:rPr>
      </w:pPr>
      <w:r>
        <w:rPr>
          <w:rFonts w:hint="eastAsia" w:ascii="宋体" w:hAnsi="宋体" w:cs="Arial"/>
          <w:kern w:val="0"/>
          <w:szCs w:val="21"/>
        </w:rPr>
        <w:t>格式（例如：语言、软件版本、图示）和媒介（例如：纸质、电子格式）</w:t>
      </w:r>
    </w:p>
    <w:p w14:paraId="488FA7FE">
      <w:pPr>
        <w:widowControl/>
        <w:numPr>
          <w:ilvl w:val="1"/>
          <w:numId w:val="9"/>
        </w:numPr>
        <w:spacing w:line="360" w:lineRule="auto"/>
        <w:ind w:hanging="834"/>
        <w:jc w:val="left"/>
        <w:rPr>
          <w:rFonts w:hint="eastAsia" w:ascii="宋体" w:hAnsi="宋体" w:cs="Arial"/>
          <w:kern w:val="0"/>
          <w:szCs w:val="21"/>
        </w:rPr>
      </w:pPr>
      <w:r>
        <w:rPr>
          <w:rFonts w:hint="eastAsia" w:ascii="宋体" w:hAnsi="宋体" w:cs="Arial"/>
          <w:kern w:val="0"/>
          <w:szCs w:val="21"/>
        </w:rPr>
        <w:t>评审和批准以确保文件信息的适宜性和充分性。</w:t>
      </w:r>
    </w:p>
    <w:p w14:paraId="261759C2">
      <w:pPr>
        <w:spacing w:line="500" w:lineRule="exact"/>
        <w:ind w:firstLine="420" w:firstLineChars="200"/>
        <w:rPr>
          <w:rFonts w:hint="eastAsia" w:ascii="楷体_GB2312" w:hAnsi="宋体" w:eastAsia="楷体_GB2312"/>
          <w:b/>
          <w:szCs w:val="21"/>
        </w:rPr>
      </w:pPr>
      <w:r>
        <w:rPr>
          <w:rFonts w:hint="eastAsia" w:ascii="楷体_GB2312" w:hAnsi="宋体" w:eastAsia="楷体_GB2312"/>
          <w:szCs w:val="21"/>
        </w:rPr>
        <w:t>d</w:t>
      </w:r>
      <w:r>
        <w:rPr>
          <w:rFonts w:hint="eastAsia" w:ascii="楷体_GB2312" w:hAnsi="宋体" w:eastAsia="楷体_GB2312" w:cs="宋体"/>
          <w:szCs w:val="21"/>
        </w:rPr>
        <w:t>）</w:t>
      </w:r>
      <w:r>
        <w:rPr>
          <w:rFonts w:hint="eastAsia" w:ascii="楷体_GB2312" w:hAnsi="宋体" w:eastAsia="楷体_GB2312"/>
          <w:szCs w:val="21"/>
        </w:rPr>
        <w:t>研发部确保按要求，对技术文件和图样履行审签、工艺和质量会签、标准化检查</w:t>
      </w:r>
      <w:r>
        <w:rPr>
          <w:rFonts w:hint="eastAsia" w:ascii="楷体_GB2312" w:hAnsi="宋体" w:eastAsia="楷体_GB2312" w:cs="宋体"/>
          <w:szCs w:val="21"/>
        </w:rPr>
        <w:t>。</w:t>
      </w:r>
    </w:p>
    <w:p w14:paraId="550F32FF">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公司制定、实施和保持</w:t>
      </w:r>
      <w:bookmarkStart w:id="114" w:name="OLE_LINK16"/>
      <w:bookmarkStart w:id="115" w:name="OLE_LINK15"/>
      <w:r>
        <w:rPr>
          <w:rFonts w:hint="eastAsia" w:ascii="宋体" w:hAnsi="宋体" w:cs="Arial"/>
          <w:kern w:val="0"/>
          <w:szCs w:val="21"/>
          <w:highlight w:val="yellow"/>
        </w:rPr>
        <w:t>《文件过程控制程序》</w:t>
      </w:r>
      <w:bookmarkEnd w:id="114"/>
      <w:bookmarkEnd w:id="115"/>
      <w:r>
        <w:rPr>
          <w:rFonts w:hint="eastAsia" w:ascii="宋体" w:hAnsi="宋体" w:cs="Arial"/>
          <w:kern w:val="0"/>
          <w:szCs w:val="21"/>
          <w:highlight w:val="yellow"/>
        </w:rPr>
        <w:t>、《记录过程控制程序》</w:t>
      </w:r>
      <w:r>
        <w:rPr>
          <w:rFonts w:hint="eastAsia" w:ascii="宋体" w:hAnsi="宋体" w:cs="Arial"/>
          <w:kern w:val="0"/>
          <w:szCs w:val="21"/>
        </w:rPr>
        <w:t>，明确了本公司文件、记录等形式体现的文件信息的管理职责、程序和要求；以确保公司的各类文件信息的适宜性和充分性。</w:t>
      </w:r>
    </w:p>
    <w:p w14:paraId="1E637AE5">
      <w:pPr>
        <w:pStyle w:val="4"/>
      </w:pPr>
      <w:bookmarkStart w:id="116" w:name="_Toc9956"/>
      <w:bookmarkStart w:id="117" w:name="_Toc536539686"/>
      <w:r>
        <w:rPr>
          <w:rFonts w:hint="eastAsia"/>
        </w:rPr>
        <w:t>7.5.3 成文信息的控制</w:t>
      </w:r>
      <w:bookmarkEnd w:id="116"/>
      <w:bookmarkEnd w:id="117"/>
    </w:p>
    <w:p w14:paraId="3A872262">
      <w:pPr>
        <w:spacing w:line="500" w:lineRule="exact"/>
        <w:rPr>
          <w:rFonts w:hint="eastAsia" w:ascii="宋体" w:hAnsi="宋体"/>
          <w:szCs w:val="21"/>
        </w:rPr>
      </w:pPr>
      <w:r>
        <w:rPr>
          <w:rFonts w:ascii="宋体" w:hAnsi="宋体"/>
          <w:szCs w:val="21"/>
        </w:rPr>
        <w:t>7.5.3.1</w:t>
      </w:r>
      <w:r>
        <w:rPr>
          <w:rFonts w:hint="eastAsia" w:ascii="宋体" w:hAnsi="宋体"/>
          <w:szCs w:val="21"/>
        </w:rPr>
        <w:t xml:space="preserve"> </w:t>
      </w:r>
      <w:r>
        <w:rPr>
          <w:rFonts w:ascii="宋体" w:hAnsi="宋体"/>
          <w:szCs w:val="21"/>
        </w:rPr>
        <w:t>公司制定并实施</w:t>
      </w:r>
      <w:r>
        <w:rPr>
          <w:rFonts w:hint="eastAsia" w:ascii="宋体" w:hAnsi="宋体" w:cs="Arial"/>
          <w:kern w:val="0"/>
          <w:szCs w:val="21"/>
          <w:highlight w:val="yellow"/>
        </w:rPr>
        <w:t>《文件过程控制程序》</w:t>
      </w:r>
      <w:r>
        <w:rPr>
          <w:rFonts w:ascii="宋体" w:hAnsi="宋体"/>
          <w:szCs w:val="21"/>
        </w:rPr>
        <w:t>，</w:t>
      </w:r>
      <w:r>
        <w:rPr>
          <w:rFonts w:hint="eastAsia" w:ascii="宋体" w:hAnsi="宋体"/>
          <w:szCs w:val="21"/>
        </w:rPr>
        <w:t>规定了对体系文件策划和编制应保证文件的充分性、一致性、相容性、符合性、可操作性、可考核性；并</w:t>
      </w:r>
      <w:r>
        <w:rPr>
          <w:rFonts w:ascii="宋体" w:hAnsi="宋体"/>
          <w:szCs w:val="21"/>
        </w:rPr>
        <w:t>对质量管理体系</w:t>
      </w:r>
      <w:r>
        <w:rPr>
          <w:rFonts w:hint="eastAsia" w:ascii="宋体" w:hAnsi="宋体"/>
          <w:szCs w:val="21"/>
        </w:rPr>
        <w:t>和体系标准</w:t>
      </w:r>
      <w:r>
        <w:rPr>
          <w:rFonts w:ascii="宋体" w:hAnsi="宋体"/>
          <w:szCs w:val="21"/>
        </w:rPr>
        <w:t>所要求的</w:t>
      </w:r>
      <w:r>
        <w:rPr>
          <w:rFonts w:hint="eastAsia" w:ascii="宋体" w:hAnsi="宋体"/>
          <w:szCs w:val="21"/>
        </w:rPr>
        <w:t>成文信息</w:t>
      </w:r>
      <w:r>
        <w:rPr>
          <w:rFonts w:ascii="宋体" w:hAnsi="宋体"/>
          <w:szCs w:val="21"/>
        </w:rPr>
        <w:t>的编写、审核、批准、</w:t>
      </w:r>
      <w:r>
        <w:rPr>
          <w:rFonts w:hint="eastAsia" w:ascii="宋体" w:hAnsi="宋体"/>
          <w:szCs w:val="21"/>
        </w:rPr>
        <w:t>分发</w:t>
      </w:r>
      <w:r>
        <w:rPr>
          <w:rFonts w:ascii="宋体" w:hAnsi="宋体"/>
          <w:szCs w:val="21"/>
        </w:rPr>
        <w:t>、</w:t>
      </w:r>
      <w:r>
        <w:rPr>
          <w:rFonts w:hint="eastAsia" w:ascii="宋体" w:hAnsi="宋体"/>
          <w:szCs w:val="21"/>
        </w:rPr>
        <w:t>访问、检索、更改、存储、防护、保持和成文信息的</w:t>
      </w:r>
      <w:r>
        <w:rPr>
          <w:rFonts w:ascii="宋体" w:hAnsi="宋体"/>
          <w:szCs w:val="21"/>
        </w:rPr>
        <w:t>标识、保留和</w:t>
      </w:r>
      <w:r>
        <w:rPr>
          <w:rFonts w:hint="eastAsia" w:ascii="宋体" w:hAnsi="宋体"/>
          <w:szCs w:val="21"/>
        </w:rPr>
        <w:t>环保方式</w:t>
      </w:r>
      <w:r>
        <w:rPr>
          <w:rFonts w:ascii="宋体" w:hAnsi="宋体"/>
          <w:szCs w:val="21"/>
        </w:rPr>
        <w:t>处置等做出具体规定，并实施有效控制和管理，以确保</w:t>
      </w:r>
      <w:r>
        <w:rPr>
          <w:rFonts w:hint="eastAsia" w:ascii="宋体" w:hAnsi="宋体"/>
          <w:szCs w:val="21"/>
        </w:rPr>
        <w:t>：</w:t>
      </w:r>
    </w:p>
    <w:p w14:paraId="217508B4">
      <w:pPr>
        <w:spacing w:line="500" w:lineRule="exact"/>
        <w:ind w:firstLine="420" w:firstLineChars="200"/>
        <w:rPr>
          <w:rFonts w:ascii="宋体" w:hAnsi="宋体"/>
          <w:szCs w:val="21"/>
        </w:rPr>
      </w:pPr>
      <w:r>
        <w:rPr>
          <w:rFonts w:ascii="宋体" w:hAnsi="宋体"/>
          <w:szCs w:val="21"/>
        </w:rPr>
        <w:t>a</w:t>
      </w:r>
      <w:r>
        <w:rPr>
          <w:rFonts w:hint="eastAsia" w:ascii="宋体" w:hAnsi="宋体" w:cs="宋体"/>
          <w:szCs w:val="21"/>
        </w:rPr>
        <w:t>）在需要的场合和时机，均可获得并适用。</w:t>
      </w:r>
      <w:r>
        <w:rPr>
          <w:rFonts w:ascii="宋体" w:hAnsi="宋体"/>
          <w:szCs w:val="21"/>
        </w:rPr>
        <w:t>确保在</w:t>
      </w:r>
      <w:r>
        <w:rPr>
          <w:rFonts w:hint="eastAsia" w:ascii="宋体" w:hAnsi="宋体"/>
          <w:szCs w:val="21"/>
        </w:rPr>
        <w:t>需要的场合和使用时</w:t>
      </w:r>
      <w:r>
        <w:rPr>
          <w:rFonts w:ascii="宋体" w:hAnsi="宋体"/>
          <w:szCs w:val="21"/>
        </w:rPr>
        <w:t>可以得到适用文件的有关版本</w:t>
      </w:r>
      <w:r>
        <w:rPr>
          <w:rFonts w:hint="eastAsia" w:ascii="宋体" w:hAnsi="宋体"/>
          <w:szCs w:val="21"/>
        </w:rPr>
        <w:t>；</w:t>
      </w:r>
      <w:r>
        <w:rPr>
          <w:rFonts w:ascii="宋体" w:hAnsi="宋体"/>
          <w:szCs w:val="21"/>
        </w:rPr>
        <w:t>确保本公司所确定的策划和运行质量管理体系所需的外来文件（如法律法规、标准规范、顾客提供图纸和资料等）及时登记、编号以得到识别；从使用场所及时撤出过期作废文件，如果出于某种目的（如历史资料查阅等）而保留作废文件时，应对这些文件进行“作废、参考”的标识，防止作废文件的非预期使用；</w:t>
      </w:r>
    </w:p>
    <w:p w14:paraId="1ED497A5">
      <w:pPr>
        <w:autoSpaceDE w:val="0"/>
        <w:autoSpaceDN w:val="0"/>
        <w:adjustRightInd w:val="0"/>
        <w:spacing w:line="500" w:lineRule="exact"/>
        <w:ind w:firstLine="424" w:firstLineChars="202"/>
        <w:jc w:val="left"/>
        <w:rPr>
          <w:rFonts w:hint="eastAsia" w:ascii="宋体" w:hAnsi="宋体"/>
          <w:kern w:val="0"/>
          <w:szCs w:val="21"/>
          <w:lang w:val="ru-RU"/>
        </w:rPr>
      </w:pPr>
      <w:r>
        <w:rPr>
          <w:rFonts w:ascii="宋体" w:hAnsi="宋体"/>
          <w:kern w:val="0"/>
          <w:szCs w:val="21"/>
          <w:lang w:val="ru-RU"/>
        </w:rPr>
        <w:t>b</w:t>
      </w:r>
      <w:r>
        <w:rPr>
          <w:rFonts w:hint="eastAsia" w:ascii="宋体" w:hAnsi="宋体" w:cs="宋体"/>
          <w:kern w:val="0"/>
          <w:szCs w:val="21"/>
          <w:lang w:val="ru-RU"/>
        </w:rPr>
        <w:t>）予以妥善保护（如：防止失密、不当使用或不完整）。</w:t>
      </w:r>
      <w:r>
        <w:rPr>
          <w:rFonts w:ascii="宋体" w:hAnsi="宋体"/>
          <w:kern w:val="0"/>
          <w:szCs w:val="21"/>
          <w:lang w:val="ru-RU"/>
        </w:rPr>
        <w:t>确保文件内容保持</w:t>
      </w:r>
      <w:r>
        <w:rPr>
          <w:rFonts w:hint="eastAsia" w:ascii="宋体" w:hAnsi="宋体"/>
          <w:kern w:val="0"/>
          <w:szCs w:val="21"/>
          <w:lang w:val="ru-RU"/>
        </w:rPr>
        <w:t>完整、</w:t>
      </w:r>
      <w:r>
        <w:rPr>
          <w:rFonts w:ascii="宋体" w:hAnsi="宋体"/>
          <w:kern w:val="0"/>
          <w:szCs w:val="21"/>
          <w:lang w:val="ru-RU"/>
        </w:rPr>
        <w:t>清晰、易于识别</w:t>
      </w:r>
      <w:r>
        <w:rPr>
          <w:rFonts w:hint="eastAsia" w:ascii="宋体" w:hAnsi="宋体"/>
          <w:kern w:val="0"/>
          <w:szCs w:val="21"/>
          <w:lang w:val="ru-RU"/>
        </w:rPr>
        <w:t>；确保密级</w:t>
      </w:r>
      <w:r>
        <w:rPr>
          <w:rFonts w:ascii="宋体" w:hAnsi="宋体"/>
          <w:kern w:val="0"/>
          <w:szCs w:val="21"/>
          <w:lang w:val="ru-RU"/>
        </w:rPr>
        <w:t>文件管理</w:t>
      </w:r>
      <w:r>
        <w:rPr>
          <w:rFonts w:hint="eastAsia" w:ascii="宋体" w:hAnsi="宋体"/>
          <w:kern w:val="0"/>
          <w:szCs w:val="21"/>
          <w:lang w:val="ru-RU"/>
        </w:rPr>
        <w:t>符合保密要求，文件密级须规定明确，防止失密，防止不当使用，在提供或回收文件时应检查其完整性；</w:t>
      </w:r>
      <w:r>
        <w:rPr>
          <w:rFonts w:ascii="宋体" w:hAnsi="宋体"/>
          <w:kern w:val="0"/>
          <w:szCs w:val="21"/>
          <w:lang w:val="ru-RU"/>
        </w:rPr>
        <w:t>确保文件的更改和现行修订状态在更改或修订处予以标识以得到识别，分类建立有效版本目录清单，由专人负责管理；</w:t>
      </w:r>
      <w:r>
        <w:rPr>
          <w:rFonts w:hint="eastAsia" w:ascii="宋体" w:hAnsi="宋体"/>
          <w:kern w:val="0"/>
          <w:szCs w:val="21"/>
          <w:lang w:val="ru-RU"/>
        </w:rPr>
        <w:t>归档文件须建立档案，</w:t>
      </w:r>
      <w:r>
        <w:rPr>
          <w:rFonts w:ascii="宋体" w:hAnsi="宋体"/>
          <w:kern w:val="0"/>
          <w:szCs w:val="21"/>
          <w:lang w:val="ru-RU"/>
        </w:rPr>
        <w:t>便于检索和存取</w:t>
      </w:r>
      <w:r>
        <w:rPr>
          <w:rFonts w:hint="eastAsia" w:ascii="宋体" w:hAnsi="宋体"/>
          <w:kern w:val="0"/>
          <w:szCs w:val="21"/>
          <w:lang w:val="ru-RU"/>
        </w:rPr>
        <w:t>；</w:t>
      </w:r>
    </w:p>
    <w:p w14:paraId="3DB95FF9">
      <w:pPr>
        <w:spacing w:line="500" w:lineRule="exact"/>
        <w:ind w:firstLine="420" w:firstLineChars="200"/>
        <w:rPr>
          <w:rFonts w:hint="eastAsia" w:ascii="楷体_GB2312" w:hAnsi="宋体" w:eastAsia="楷体_GB2312"/>
          <w:szCs w:val="21"/>
        </w:rPr>
      </w:pPr>
      <w:r>
        <w:rPr>
          <w:rFonts w:hint="eastAsia" w:ascii="楷体_GB2312" w:hAnsi="宋体" w:eastAsia="楷体_GB2312"/>
          <w:szCs w:val="21"/>
        </w:rPr>
        <w:t>c</w:t>
      </w:r>
      <w:r>
        <w:rPr>
          <w:rFonts w:hint="eastAsia" w:ascii="楷体_GB2312" w:hAnsi="宋体" w:eastAsia="楷体_GB2312" w:cs="宋体"/>
          <w:szCs w:val="21"/>
        </w:rPr>
        <w:t>）</w:t>
      </w:r>
      <w:r>
        <w:rPr>
          <w:rFonts w:hint="eastAsia" w:ascii="楷体_GB2312" w:hAnsi="宋体" w:eastAsia="楷体_GB2312"/>
          <w:szCs w:val="21"/>
        </w:rPr>
        <w:t>技术文件和图样协调一致，现行有效。研发部归口管理图样和技术文件，确保对技术文件和产品图样按规定进行审签、工艺和质量会签、标准化检查，确保图样和技术文件协调一致，现行有效；</w:t>
      </w:r>
    </w:p>
    <w:p w14:paraId="146B3B64">
      <w:pPr>
        <w:spacing w:line="500" w:lineRule="exact"/>
        <w:ind w:firstLine="420" w:firstLineChars="200"/>
        <w:rPr>
          <w:rFonts w:hint="eastAsia" w:ascii="楷体_GB2312" w:hAnsi="宋体" w:eastAsia="楷体_GB2312"/>
          <w:b/>
          <w:szCs w:val="21"/>
        </w:rPr>
      </w:pPr>
      <w:r>
        <w:rPr>
          <w:rFonts w:hint="eastAsia" w:ascii="楷体_GB2312" w:hAnsi="宋体" w:eastAsia="楷体_GB2312"/>
          <w:szCs w:val="21"/>
        </w:rPr>
        <w:t>d）质量记录完整、可追溯，并能证明产品和服务满足要求的程度。品质部归口管理质量记录，质量记录可以采取文字（表格）、照片、电子媒体等形式；质量记录须保持完整、清晰、可追溯，并能清楚地证明产品和服务满足要求的程度；</w:t>
      </w:r>
      <w:r>
        <w:rPr>
          <w:rFonts w:hint="eastAsia" w:ascii="楷体_GB2312" w:hAnsi="宋体" w:eastAsia="楷体_GB2312"/>
          <w:b/>
          <w:szCs w:val="21"/>
        </w:rPr>
        <w:t xml:space="preserve"> </w:t>
      </w:r>
    </w:p>
    <w:p w14:paraId="7CABBAB2">
      <w:pPr>
        <w:autoSpaceDE w:val="0"/>
        <w:autoSpaceDN w:val="0"/>
        <w:adjustRightInd w:val="0"/>
        <w:spacing w:line="500" w:lineRule="exact"/>
        <w:ind w:firstLine="424" w:firstLineChars="202"/>
        <w:jc w:val="left"/>
        <w:rPr>
          <w:rFonts w:hint="eastAsia" w:ascii="楷体_GB2312" w:hAnsi="宋体" w:eastAsia="楷体_GB2312"/>
          <w:kern w:val="0"/>
          <w:szCs w:val="21"/>
          <w:lang w:val="ru-RU"/>
        </w:rPr>
      </w:pPr>
      <w:r>
        <w:rPr>
          <w:rFonts w:hint="eastAsia" w:ascii="楷体_GB2312" w:hAnsi="宋体" w:eastAsia="楷体_GB2312"/>
          <w:kern w:val="0"/>
          <w:szCs w:val="21"/>
          <w:lang w:val="ru-RU"/>
        </w:rPr>
        <w:t>e）产品和服务质量形成过程中需要的文件和记录按规定归档</w:t>
      </w:r>
      <w:r>
        <w:rPr>
          <w:rFonts w:hint="eastAsia" w:ascii="楷体_GB2312" w:hAnsi="宋体" w:eastAsia="楷体_GB2312" w:cs="宋体"/>
          <w:kern w:val="0"/>
          <w:szCs w:val="21"/>
          <w:lang w:val="ru-RU"/>
        </w:rPr>
        <w:t>。</w:t>
      </w:r>
      <w:r>
        <w:rPr>
          <w:rFonts w:hint="eastAsia" w:ascii="楷体_GB2312" w:hAnsi="宋体" w:eastAsia="楷体_GB2312"/>
          <w:kern w:val="0"/>
          <w:szCs w:val="21"/>
          <w:lang w:val="ru-RU"/>
        </w:rPr>
        <w:t>在进行产品实现的策划时，规定产品和服务质量形成过程中需要保存的文件和记录，按规定的时机和要求将整理完整的文件和记录及时归档。</w:t>
      </w:r>
    </w:p>
    <w:p w14:paraId="2DD32D02">
      <w:pPr>
        <w:autoSpaceDE w:val="0"/>
        <w:autoSpaceDN w:val="0"/>
        <w:adjustRightInd w:val="0"/>
        <w:spacing w:line="500" w:lineRule="exact"/>
        <w:ind w:firstLine="424" w:firstLineChars="202"/>
        <w:jc w:val="left"/>
        <w:rPr>
          <w:rFonts w:ascii="宋体" w:hAnsi="宋体"/>
          <w:kern w:val="0"/>
          <w:szCs w:val="21"/>
          <w:lang w:val="ru-RU"/>
        </w:rPr>
      </w:pPr>
      <w:r>
        <w:rPr>
          <w:rFonts w:hint="eastAsia" w:ascii="宋体" w:hAnsi="宋体"/>
          <w:kern w:val="0"/>
          <w:szCs w:val="21"/>
          <w:lang w:val="ru-RU"/>
        </w:rPr>
        <w:t>品质部负责质量管理类成文信息的控制和管理，研发部负责技术类成文信息的控制和管理，管理部负责外来行政和内部行政管理类成文信息的控制和管理。</w:t>
      </w:r>
    </w:p>
    <w:p w14:paraId="54C530DB">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各部门应按照</w:t>
      </w:r>
      <w:r>
        <w:rPr>
          <w:rFonts w:hint="eastAsia" w:ascii="宋体" w:hAnsi="宋体" w:cs="Arial"/>
          <w:kern w:val="0"/>
          <w:szCs w:val="21"/>
          <w:highlight w:val="yellow"/>
        </w:rPr>
        <w:t>《文件控制程序》</w:t>
      </w:r>
      <w:r>
        <w:rPr>
          <w:rFonts w:hint="eastAsia" w:ascii="宋体" w:hAnsi="宋体" w:cs="Arial"/>
          <w:kern w:val="0"/>
          <w:szCs w:val="21"/>
        </w:rPr>
        <w:t>的要求，确保质量管理体系有效运行的文件信息得到有效控制，内容包括：</w:t>
      </w:r>
    </w:p>
    <w:p w14:paraId="15F8F44D">
      <w:pPr>
        <w:widowControl/>
        <w:numPr>
          <w:ilvl w:val="1"/>
          <w:numId w:val="10"/>
        </w:numPr>
        <w:spacing w:line="360" w:lineRule="auto"/>
        <w:ind w:hanging="834"/>
        <w:jc w:val="left"/>
        <w:rPr>
          <w:rFonts w:ascii="宋体" w:hAnsi="宋体" w:cs="Arial"/>
          <w:kern w:val="0"/>
          <w:szCs w:val="21"/>
        </w:rPr>
      </w:pPr>
      <w:r>
        <w:rPr>
          <w:rFonts w:hint="eastAsia" w:ascii="宋体" w:hAnsi="宋体" w:cs="Arial"/>
          <w:kern w:val="0"/>
          <w:szCs w:val="21"/>
        </w:rPr>
        <w:t>在需要的地点和时间，获得文件信息的适用版本；</w:t>
      </w:r>
    </w:p>
    <w:p w14:paraId="1515CBB1">
      <w:pPr>
        <w:widowControl/>
        <w:numPr>
          <w:ilvl w:val="1"/>
          <w:numId w:val="10"/>
        </w:numPr>
        <w:spacing w:line="360" w:lineRule="auto"/>
        <w:ind w:hanging="834"/>
        <w:jc w:val="left"/>
        <w:rPr>
          <w:rFonts w:ascii="宋体" w:hAnsi="宋体" w:cs="Arial"/>
          <w:kern w:val="0"/>
          <w:szCs w:val="21"/>
        </w:rPr>
      </w:pPr>
      <w:r>
        <w:rPr>
          <w:rFonts w:hint="eastAsia" w:ascii="宋体" w:hAnsi="宋体" w:cs="Arial"/>
          <w:kern w:val="0"/>
          <w:szCs w:val="21"/>
        </w:rPr>
        <w:t>文件信息得到充分的保护（如防止泄密、使用不当或失去完整性）；</w:t>
      </w:r>
    </w:p>
    <w:p w14:paraId="5F8F1EBB">
      <w:pPr>
        <w:widowControl/>
        <w:spacing w:line="360" w:lineRule="auto"/>
        <w:ind w:left="426"/>
        <w:jc w:val="left"/>
        <w:rPr>
          <w:rFonts w:ascii="宋体" w:hAnsi="宋体" w:cs="Arial"/>
          <w:kern w:val="0"/>
          <w:szCs w:val="21"/>
        </w:rPr>
      </w:pPr>
      <w:r>
        <w:rPr>
          <w:rFonts w:hint="eastAsia" w:ascii="宋体" w:hAnsi="宋体" w:cs="Arial"/>
          <w:kern w:val="0"/>
          <w:szCs w:val="21"/>
        </w:rPr>
        <w:t>为控制成文信息，适用时，各文件信息主管部门和使用部门应采取下列活动：</w:t>
      </w:r>
    </w:p>
    <w:p w14:paraId="509999EA">
      <w:pPr>
        <w:widowControl/>
        <w:numPr>
          <w:ilvl w:val="1"/>
          <w:numId w:val="11"/>
        </w:numPr>
        <w:spacing w:line="360" w:lineRule="auto"/>
        <w:ind w:left="426" w:firstLine="0"/>
        <w:jc w:val="left"/>
        <w:rPr>
          <w:rFonts w:ascii="宋体" w:hAnsi="宋体" w:cs="Arial"/>
          <w:kern w:val="0"/>
          <w:szCs w:val="21"/>
        </w:rPr>
      </w:pPr>
      <w:r>
        <w:rPr>
          <w:rFonts w:hint="eastAsia" w:ascii="宋体" w:hAnsi="宋体" w:cs="Arial"/>
          <w:kern w:val="0"/>
          <w:szCs w:val="21"/>
        </w:rPr>
        <w:t>分发、设定访问权限、检索和使用；</w:t>
      </w:r>
    </w:p>
    <w:p w14:paraId="3515901A">
      <w:pPr>
        <w:widowControl/>
        <w:numPr>
          <w:ilvl w:val="1"/>
          <w:numId w:val="11"/>
        </w:numPr>
        <w:spacing w:line="360" w:lineRule="auto"/>
        <w:ind w:left="426" w:firstLine="0"/>
        <w:jc w:val="left"/>
        <w:rPr>
          <w:rFonts w:ascii="宋体" w:hAnsi="宋体" w:cs="Arial"/>
          <w:kern w:val="0"/>
          <w:szCs w:val="21"/>
        </w:rPr>
      </w:pPr>
      <w:r>
        <w:rPr>
          <w:rFonts w:hint="eastAsia" w:ascii="宋体" w:hAnsi="宋体" w:cs="Arial"/>
          <w:kern w:val="0"/>
          <w:szCs w:val="21"/>
        </w:rPr>
        <w:t>贮存和保存，包括保持清晰；</w:t>
      </w:r>
    </w:p>
    <w:p w14:paraId="7588521C">
      <w:pPr>
        <w:widowControl/>
        <w:numPr>
          <w:ilvl w:val="1"/>
          <w:numId w:val="11"/>
        </w:numPr>
        <w:spacing w:line="360" w:lineRule="auto"/>
        <w:ind w:left="426" w:firstLine="0"/>
        <w:jc w:val="left"/>
        <w:rPr>
          <w:rFonts w:ascii="宋体" w:hAnsi="宋体" w:cs="Arial"/>
          <w:kern w:val="0"/>
          <w:szCs w:val="21"/>
        </w:rPr>
      </w:pPr>
      <w:r>
        <w:rPr>
          <w:rFonts w:hint="eastAsia" w:ascii="宋体" w:hAnsi="宋体" w:cs="Arial"/>
          <w:kern w:val="0"/>
          <w:szCs w:val="21"/>
        </w:rPr>
        <w:t>更改的控制（如：版本控制）；</w:t>
      </w:r>
    </w:p>
    <w:p w14:paraId="7EA58F78">
      <w:pPr>
        <w:widowControl/>
        <w:numPr>
          <w:ilvl w:val="1"/>
          <w:numId w:val="11"/>
        </w:numPr>
        <w:spacing w:line="360" w:lineRule="auto"/>
        <w:ind w:left="426" w:firstLine="0"/>
        <w:jc w:val="left"/>
        <w:rPr>
          <w:rFonts w:hint="eastAsia" w:ascii="宋体" w:hAnsi="宋体" w:cs="Arial"/>
          <w:kern w:val="0"/>
          <w:szCs w:val="21"/>
        </w:rPr>
      </w:pPr>
      <w:r>
        <w:rPr>
          <w:rFonts w:hint="eastAsia" w:ascii="宋体" w:hAnsi="宋体" w:cs="Arial"/>
          <w:kern w:val="0"/>
          <w:szCs w:val="21"/>
        </w:rPr>
        <w:t>保留和处置。</w:t>
      </w:r>
    </w:p>
    <w:p w14:paraId="16F6761E">
      <w:pPr>
        <w:spacing w:line="500" w:lineRule="exact"/>
        <w:rPr>
          <w:rFonts w:hint="eastAsia" w:ascii="宋体" w:hAnsi="宋体" w:cs="宋体"/>
          <w:szCs w:val="21"/>
        </w:rPr>
      </w:pPr>
      <w:r>
        <w:rPr>
          <w:rFonts w:ascii="宋体" w:hAnsi="宋体"/>
          <w:szCs w:val="21"/>
        </w:rPr>
        <w:t>7.5.3.2</w:t>
      </w:r>
      <w:r>
        <w:rPr>
          <w:rFonts w:hint="eastAsia" w:ascii="宋体" w:hAnsi="宋体"/>
          <w:szCs w:val="21"/>
        </w:rPr>
        <w:t xml:space="preserve">  </w:t>
      </w:r>
      <w:r>
        <w:rPr>
          <w:rFonts w:ascii="宋体" w:hAnsi="宋体"/>
          <w:szCs w:val="21"/>
        </w:rPr>
        <w:t>公司对质量管理体系所要求的</w:t>
      </w:r>
      <w:r>
        <w:rPr>
          <w:rFonts w:hint="eastAsia" w:ascii="宋体" w:hAnsi="宋体"/>
          <w:szCs w:val="21"/>
        </w:rPr>
        <w:t>为已实现的结果提供证据所需的成文信息作出规定。</w:t>
      </w:r>
      <w:r>
        <w:rPr>
          <w:rFonts w:hint="eastAsia" w:ascii="宋体" w:hAnsi="宋体" w:cs="宋体"/>
          <w:szCs w:val="21"/>
        </w:rPr>
        <w:t>为控制成文信息，公司根据体系运行和提供证据的需要，进行下列活动：</w:t>
      </w:r>
    </w:p>
    <w:p w14:paraId="729DBBEE">
      <w:pPr>
        <w:pStyle w:val="147"/>
        <w:widowControl w:val="0"/>
        <w:autoSpaceDE w:val="0"/>
        <w:autoSpaceDN w:val="0"/>
        <w:adjustRightInd w:val="0"/>
        <w:spacing w:before="0" w:after="0" w:line="500" w:lineRule="exact"/>
        <w:ind w:firstLine="420" w:firstLineChars="200"/>
        <w:jc w:val="left"/>
        <w:rPr>
          <w:rFonts w:ascii="宋体" w:hAnsi="宋体" w:eastAsia="宋体"/>
          <w:sz w:val="21"/>
          <w:szCs w:val="21"/>
          <w:lang w:eastAsia="zh-CN"/>
        </w:rPr>
      </w:pPr>
      <w:r>
        <w:rPr>
          <w:rFonts w:ascii="宋体" w:hAnsi="宋体" w:eastAsia="宋体"/>
          <w:sz w:val="21"/>
          <w:szCs w:val="21"/>
          <w:lang w:eastAsia="zh-CN"/>
        </w:rPr>
        <w:t>a</w:t>
      </w:r>
      <w:r>
        <w:rPr>
          <w:rFonts w:hint="eastAsia" w:ascii="宋体" w:hAnsi="宋体" w:eastAsia="宋体" w:cs="宋体"/>
          <w:sz w:val="21"/>
          <w:szCs w:val="21"/>
          <w:lang w:eastAsia="zh-CN"/>
        </w:rPr>
        <w:t>）分发、访问、检索和使用。对需要获得成文信息的场合，按成文信息发放规定及时分发；对查阅或允许查阅、授权更改等需要访问时，需按授权范围或经过文件主管部门负责人的批准方可实施；归档的成文信息需做标识，如标题、版本、日期、密级、索引编号等，便于检索、查阅和使用；</w:t>
      </w:r>
    </w:p>
    <w:p w14:paraId="76935181">
      <w:pPr>
        <w:pStyle w:val="147"/>
        <w:widowControl w:val="0"/>
        <w:autoSpaceDE w:val="0"/>
        <w:autoSpaceDN w:val="0"/>
        <w:adjustRightInd w:val="0"/>
        <w:spacing w:before="0" w:after="0" w:line="500" w:lineRule="exact"/>
        <w:ind w:firstLine="420" w:firstLineChars="200"/>
        <w:jc w:val="left"/>
        <w:rPr>
          <w:rFonts w:ascii="宋体" w:hAnsi="宋体" w:eastAsia="宋体"/>
          <w:sz w:val="21"/>
          <w:szCs w:val="21"/>
          <w:lang w:eastAsia="zh-CN"/>
        </w:rPr>
      </w:pPr>
      <w:r>
        <w:rPr>
          <w:rFonts w:ascii="宋体" w:hAnsi="宋体" w:eastAsia="宋体"/>
          <w:sz w:val="21"/>
          <w:szCs w:val="21"/>
          <w:lang w:eastAsia="zh-CN"/>
        </w:rPr>
        <w:t>b</w:t>
      </w:r>
      <w:r>
        <w:rPr>
          <w:rFonts w:hint="eastAsia" w:ascii="宋体" w:hAnsi="宋体" w:eastAsia="宋体" w:cs="宋体"/>
          <w:sz w:val="21"/>
          <w:szCs w:val="21"/>
          <w:lang w:eastAsia="zh-CN"/>
        </w:rPr>
        <w:t>）存储和防护，包括保持可读性。成文信息需根据载体介质提供适宜的存储环境和防护措施，如防磁化、适宜的温湿度、防霉变、防鼠咬等，电子文档需备份，并定期复查，保持成文信息的可读性；</w:t>
      </w:r>
    </w:p>
    <w:p w14:paraId="2AD967F7">
      <w:pPr>
        <w:pStyle w:val="147"/>
        <w:widowControl w:val="0"/>
        <w:autoSpaceDE w:val="0"/>
        <w:autoSpaceDN w:val="0"/>
        <w:adjustRightInd w:val="0"/>
        <w:spacing w:before="0" w:after="0" w:line="500" w:lineRule="exact"/>
        <w:ind w:firstLine="420" w:firstLineChars="200"/>
        <w:jc w:val="left"/>
        <w:rPr>
          <w:rFonts w:ascii="宋体" w:hAnsi="宋体" w:eastAsia="宋体"/>
          <w:sz w:val="21"/>
          <w:szCs w:val="21"/>
          <w:lang w:eastAsia="zh-CN"/>
        </w:rPr>
      </w:pPr>
      <w:r>
        <w:rPr>
          <w:rFonts w:ascii="宋体" w:hAnsi="宋体" w:eastAsia="宋体"/>
          <w:sz w:val="21"/>
          <w:szCs w:val="21"/>
        </w:rPr>
        <w:t>c</w:t>
      </w:r>
      <w:r>
        <w:rPr>
          <w:rFonts w:hint="eastAsia" w:ascii="宋体" w:hAnsi="宋体" w:eastAsia="宋体" w:cs="宋体"/>
          <w:sz w:val="21"/>
          <w:szCs w:val="21"/>
        </w:rPr>
        <w:t>）更改控制（如版本控制）</w:t>
      </w:r>
      <w:r>
        <w:rPr>
          <w:rFonts w:hint="eastAsia" w:ascii="宋体" w:hAnsi="宋体" w:eastAsia="宋体" w:cs="宋体"/>
          <w:sz w:val="21"/>
          <w:szCs w:val="21"/>
          <w:lang w:eastAsia="zh-CN"/>
        </w:rPr>
        <w:t>。成文信息的更改需按</w:t>
      </w:r>
      <w:r>
        <w:rPr>
          <w:rFonts w:hint="eastAsia" w:ascii="宋体" w:hAnsi="宋体" w:eastAsia="宋体"/>
          <w:sz w:val="21"/>
          <w:szCs w:val="21"/>
          <w:lang w:eastAsia="zh-CN"/>
        </w:rPr>
        <w:t>《变更控制程序》</w:t>
      </w:r>
      <w:r>
        <w:rPr>
          <w:rFonts w:hint="eastAsia" w:ascii="宋体" w:hAnsi="宋体" w:eastAsia="宋体" w:cs="宋体"/>
          <w:sz w:val="21"/>
          <w:szCs w:val="21"/>
          <w:lang w:eastAsia="zh-CN"/>
        </w:rPr>
        <w:t>执行，包括对成文信息更改的审批、实施、标识、涉及技术性成文信息的更改时对相关文件的更改和技术状态的影响等控制，更改也包括对版本的控制等；</w:t>
      </w:r>
    </w:p>
    <w:p w14:paraId="173F9B73">
      <w:pPr>
        <w:pStyle w:val="147"/>
        <w:widowControl w:val="0"/>
        <w:autoSpaceDE w:val="0"/>
        <w:autoSpaceDN w:val="0"/>
        <w:adjustRightInd w:val="0"/>
        <w:spacing w:before="0" w:after="0" w:line="500" w:lineRule="exact"/>
        <w:ind w:firstLine="420" w:firstLineChars="200"/>
        <w:jc w:val="left"/>
        <w:rPr>
          <w:rFonts w:hint="eastAsia" w:ascii="宋体" w:hAnsi="宋体" w:eastAsia="宋体"/>
          <w:sz w:val="21"/>
          <w:szCs w:val="21"/>
          <w:lang w:eastAsia="zh-CN"/>
        </w:rPr>
      </w:pPr>
      <w:r>
        <w:rPr>
          <w:rFonts w:ascii="宋体" w:hAnsi="宋体" w:eastAsia="宋体"/>
          <w:sz w:val="21"/>
          <w:szCs w:val="21"/>
          <w:lang w:eastAsia="zh-CN"/>
        </w:rPr>
        <w:t>d</w:t>
      </w:r>
      <w:r>
        <w:rPr>
          <w:rFonts w:hint="eastAsia" w:ascii="宋体" w:hAnsi="宋体" w:eastAsia="宋体" w:cs="宋体"/>
          <w:sz w:val="21"/>
          <w:szCs w:val="21"/>
          <w:lang w:eastAsia="zh-CN"/>
        </w:rPr>
        <w:t>）保留和处置。</w:t>
      </w:r>
      <w:r>
        <w:rPr>
          <w:rFonts w:ascii="宋体" w:hAnsi="宋体" w:eastAsia="宋体"/>
          <w:sz w:val="21"/>
          <w:szCs w:val="21"/>
          <w:lang w:eastAsia="zh-CN"/>
        </w:rPr>
        <w:t>对质量管理体系所要求的</w:t>
      </w:r>
      <w:r>
        <w:rPr>
          <w:rFonts w:hint="eastAsia" w:ascii="宋体" w:hAnsi="宋体" w:eastAsia="宋体"/>
          <w:sz w:val="21"/>
          <w:szCs w:val="21"/>
          <w:lang w:eastAsia="zh-CN"/>
        </w:rPr>
        <w:t>为已实现的结果提供证据所需的成文信息作出规定，具体在质量记录清单中予以规定；</w:t>
      </w:r>
      <w:r>
        <w:rPr>
          <w:rFonts w:hint="eastAsia" w:ascii="宋体" w:hAnsi="宋体" w:eastAsia="宋体" w:cs="宋体"/>
          <w:sz w:val="21"/>
          <w:szCs w:val="21"/>
          <w:lang w:eastAsia="zh-CN"/>
        </w:rPr>
        <w:t>对所保留的作为符合性证据的</w:t>
      </w:r>
      <w:r>
        <w:rPr>
          <w:rFonts w:ascii="宋体" w:hAnsi="宋体" w:eastAsia="宋体"/>
          <w:sz w:val="21"/>
          <w:szCs w:val="21"/>
          <w:lang w:eastAsia="zh-CN"/>
        </w:rPr>
        <w:t>成文信息按上述a）、b）、c）的要求予以保护，防止非预期的更改。对成文信息的处置应满足</w:t>
      </w:r>
      <w:r>
        <w:rPr>
          <w:rFonts w:hint="eastAsia" w:ascii="宋体" w:hAnsi="宋体" w:eastAsia="宋体"/>
          <w:sz w:val="21"/>
          <w:szCs w:val="21"/>
          <w:lang w:eastAsia="zh-CN"/>
        </w:rPr>
        <w:t>环保要求，如作废的纸质载体可采用碎纸机粉碎，交回收公司回收，电子载体的处置须满足环保规定，集中送专设机构处置，不得随意粉碎倾倒；涉密载体的处置必须符合保密载体处置规定审批、处置。</w:t>
      </w:r>
    </w:p>
    <w:p w14:paraId="1A6A24F0">
      <w:pPr>
        <w:pStyle w:val="147"/>
        <w:widowControl w:val="0"/>
        <w:autoSpaceDE w:val="0"/>
        <w:autoSpaceDN w:val="0"/>
        <w:adjustRightInd w:val="0"/>
        <w:spacing w:before="0" w:after="0" w:line="500" w:lineRule="exact"/>
        <w:ind w:firstLine="420" w:firstLineChars="200"/>
        <w:jc w:val="left"/>
        <w:rPr>
          <w:rFonts w:ascii="宋体" w:hAnsi="宋体" w:eastAsia="宋体"/>
          <w:sz w:val="21"/>
          <w:szCs w:val="21"/>
          <w:lang w:eastAsia="zh-CN"/>
        </w:rPr>
      </w:pPr>
      <w:r>
        <w:rPr>
          <w:rFonts w:hint="eastAsia" w:ascii="楷体_GB2312" w:hAnsi="宋体" w:eastAsia="楷体_GB2312"/>
          <w:sz w:val="21"/>
          <w:szCs w:val="21"/>
          <w:lang w:eastAsia="zh-CN"/>
        </w:rPr>
        <w:t>e)</w:t>
      </w:r>
      <w:r>
        <w:rPr>
          <w:rFonts w:hint="eastAsia" w:ascii="楷体_GB2312" w:eastAsia="楷体_GB2312"/>
          <w:sz w:val="21"/>
          <w:szCs w:val="21"/>
          <w:lang w:eastAsia="zh-CN"/>
        </w:rPr>
        <w:t xml:space="preserve"> 防止作废文件的非预期使用。</w:t>
      </w:r>
    </w:p>
    <w:p w14:paraId="7B666731">
      <w:pPr>
        <w:pStyle w:val="147"/>
        <w:widowControl w:val="0"/>
        <w:autoSpaceDE w:val="0"/>
        <w:autoSpaceDN w:val="0"/>
        <w:adjustRightInd w:val="0"/>
        <w:spacing w:before="0" w:after="0" w:line="500" w:lineRule="exact"/>
        <w:ind w:firstLine="420" w:firstLineChars="200"/>
        <w:rPr>
          <w:rFonts w:ascii="宋体" w:hAnsi="宋体" w:eastAsia="宋体"/>
          <w:sz w:val="21"/>
          <w:szCs w:val="21"/>
          <w:lang w:eastAsia="zh-CN"/>
        </w:rPr>
      </w:pPr>
      <w:r>
        <w:rPr>
          <w:rFonts w:hint="eastAsia" w:ascii="宋体" w:hAnsi="宋体" w:eastAsia="宋体" w:cs="宋体"/>
          <w:sz w:val="21"/>
          <w:szCs w:val="21"/>
          <w:lang w:eastAsia="zh-CN"/>
        </w:rPr>
        <w:t>对确定策划和运行质量管理体系所必需的</w:t>
      </w:r>
      <w:r>
        <w:rPr>
          <w:rFonts w:ascii="宋体" w:hAnsi="宋体" w:eastAsia="宋体"/>
          <w:sz w:val="21"/>
          <w:szCs w:val="21"/>
          <w:lang w:eastAsia="zh-CN"/>
        </w:rPr>
        <w:t>来自外部的成文信息</w:t>
      </w:r>
      <w:r>
        <w:rPr>
          <w:rFonts w:hint="eastAsia" w:ascii="宋体" w:hAnsi="宋体" w:eastAsia="宋体" w:cs="宋体"/>
          <w:sz w:val="21"/>
          <w:szCs w:val="21"/>
          <w:lang w:eastAsia="zh-CN"/>
        </w:rPr>
        <w:t>，如外来标准、顾客提供的成文信息等，由接收部门进行适当识别，并做好登记予以控制。</w:t>
      </w:r>
    </w:p>
    <w:p w14:paraId="6FC13739">
      <w:pPr>
        <w:pStyle w:val="147"/>
        <w:widowControl w:val="0"/>
        <w:autoSpaceDE w:val="0"/>
        <w:autoSpaceDN w:val="0"/>
        <w:adjustRightInd w:val="0"/>
        <w:spacing w:before="0" w:after="0" w:line="500" w:lineRule="exact"/>
        <w:ind w:firstLine="420" w:firstLineChars="200"/>
        <w:jc w:val="left"/>
        <w:rPr>
          <w:rFonts w:hint="eastAsia" w:ascii="楷体_GB2312" w:hAnsi="宋体" w:eastAsia="楷体_GB2312"/>
          <w:snapToGrid w:val="0"/>
          <w:sz w:val="21"/>
          <w:szCs w:val="21"/>
          <w:lang w:eastAsia="zh-CN"/>
        </w:rPr>
      </w:pPr>
      <w:r>
        <w:rPr>
          <w:rFonts w:hint="eastAsia" w:ascii="楷体_GB2312" w:hAnsi="宋体" w:eastAsia="楷体_GB2312"/>
          <w:sz w:val="21"/>
          <w:szCs w:val="21"/>
          <w:lang w:eastAsia="zh-CN"/>
        </w:rPr>
        <w:t>文件和记录的保留期限，应满足顾客要求和法律法规要求，与产品和服务寿命周期相适应</w:t>
      </w:r>
      <w:r>
        <w:rPr>
          <w:rFonts w:hint="eastAsia" w:ascii="楷体_GB2312" w:hAnsi="宋体" w:eastAsia="楷体_GB2312" w:cs="宋体"/>
          <w:sz w:val="21"/>
          <w:szCs w:val="21"/>
          <w:lang w:eastAsia="zh-CN"/>
        </w:rPr>
        <w:t>。</w:t>
      </w:r>
    </w:p>
    <w:p w14:paraId="0D15E550">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公司所确定的策划和运行质量管理体系所需的外来文件应确保得到识别和控制。</w:t>
      </w:r>
    </w:p>
    <w:p w14:paraId="7C7C1185">
      <w:pPr>
        <w:widowControl/>
        <w:spacing w:line="360" w:lineRule="auto"/>
        <w:ind w:firstLine="360" w:firstLineChars="200"/>
        <w:jc w:val="left"/>
        <w:rPr>
          <w:rFonts w:hint="eastAsia" w:ascii="宋体" w:hAnsi="宋体" w:cs="Arial"/>
          <w:kern w:val="0"/>
          <w:sz w:val="18"/>
          <w:szCs w:val="18"/>
        </w:rPr>
      </w:pPr>
      <w:r>
        <w:rPr>
          <w:rFonts w:hint="eastAsia" w:ascii="宋体" w:hAnsi="宋体" w:cs="Arial"/>
          <w:kern w:val="0"/>
          <w:sz w:val="18"/>
          <w:szCs w:val="18"/>
        </w:rPr>
        <w:t>注：成文信息的“访问”可能意味着仅允许查阅，或者意味着允许查阅并授权修改。</w:t>
      </w:r>
    </w:p>
    <w:p w14:paraId="2EA1D7C1">
      <w:pPr>
        <w:pStyle w:val="3"/>
        <w:rPr>
          <w:kern w:val="0"/>
          <w:lang w:val="ru-RU"/>
        </w:rPr>
      </w:pPr>
      <w:bookmarkStart w:id="118" w:name="_Toc26637"/>
      <w:bookmarkStart w:id="119" w:name="_Toc536539687"/>
      <w:r>
        <w:rPr>
          <w:kern w:val="0"/>
          <w:lang w:val="ru-RU"/>
        </w:rPr>
        <w:t>7.6  质量信息</w:t>
      </w:r>
      <w:bookmarkEnd w:id="118"/>
      <w:bookmarkEnd w:id="119"/>
    </w:p>
    <w:p w14:paraId="5ED75E50">
      <w:pPr>
        <w:spacing w:line="500" w:lineRule="exact"/>
        <w:rPr>
          <w:rFonts w:hint="eastAsia" w:ascii="楷体_GB2312" w:hAnsi="宋体" w:eastAsia="楷体_GB2312"/>
          <w:b/>
          <w:kern w:val="0"/>
          <w:szCs w:val="21"/>
          <w:lang w:val="ru-RU"/>
        </w:rPr>
      </w:pPr>
      <w:r>
        <w:rPr>
          <w:rFonts w:hint="eastAsia" w:ascii="楷体_GB2312" w:hAnsi="宋体" w:eastAsia="楷体_GB2312"/>
          <w:b/>
          <w:kern w:val="0"/>
          <w:szCs w:val="21"/>
          <w:lang w:val="ru-RU"/>
        </w:rPr>
        <w:t>7.6.1公司制定并实施</w:t>
      </w:r>
      <w:r>
        <w:rPr>
          <w:rFonts w:hint="eastAsia" w:ascii="楷体_GB2312" w:hAnsi="宋体" w:eastAsia="楷体_GB2312"/>
          <w:b/>
          <w:kern w:val="0"/>
          <w:szCs w:val="21"/>
          <w:highlight w:val="yellow"/>
          <w:lang w:val="ru-RU"/>
        </w:rPr>
        <w:t>《质量信息控制程序》</w:t>
      </w:r>
      <w:r>
        <w:rPr>
          <w:rFonts w:hint="eastAsia" w:ascii="楷体_GB2312" w:hAnsi="宋体" w:eastAsia="楷体_GB2312"/>
          <w:b/>
          <w:kern w:val="0"/>
          <w:szCs w:val="21"/>
          <w:lang w:val="ru-RU"/>
        </w:rPr>
        <w:t>:</w:t>
      </w:r>
    </w:p>
    <w:p w14:paraId="49DA2BE2">
      <w:pPr>
        <w:spacing w:line="500" w:lineRule="exact"/>
        <w:ind w:firstLine="420" w:firstLineChars="200"/>
        <w:rPr>
          <w:rFonts w:hint="eastAsia" w:ascii="楷体_GB2312" w:hAnsi="宋体" w:eastAsia="楷体_GB2312"/>
          <w:kern w:val="0"/>
          <w:szCs w:val="21"/>
          <w:lang w:val="ru-RU"/>
        </w:rPr>
      </w:pPr>
      <w:r>
        <w:rPr>
          <w:rFonts w:hint="eastAsia" w:ascii="楷体_GB2312" w:hAnsi="宋体" w:eastAsia="楷体_GB2312"/>
          <w:kern w:val="0"/>
          <w:szCs w:val="21"/>
          <w:lang w:val="ru-RU"/>
        </w:rPr>
        <w:t>a)确定质量信息的需求，识别质量信息的来源和获得的途径;</w:t>
      </w:r>
    </w:p>
    <w:p w14:paraId="45B3A077">
      <w:pPr>
        <w:spacing w:line="500" w:lineRule="exact"/>
        <w:ind w:firstLine="420" w:firstLineChars="200"/>
        <w:rPr>
          <w:rFonts w:hint="eastAsia" w:ascii="楷体_GB2312" w:hAnsi="宋体" w:eastAsia="楷体_GB2312"/>
          <w:kern w:val="0"/>
          <w:szCs w:val="21"/>
          <w:lang w:val="ru-RU"/>
        </w:rPr>
      </w:pPr>
      <w:r>
        <w:rPr>
          <w:rFonts w:hint="eastAsia" w:ascii="楷体_GB2312" w:hAnsi="宋体" w:eastAsia="楷体_GB2312"/>
          <w:kern w:val="0"/>
          <w:szCs w:val="21"/>
          <w:lang w:val="ru-RU"/>
        </w:rPr>
        <w:t>b)建立质量信息管理制度；</w:t>
      </w:r>
    </w:p>
    <w:p w14:paraId="5E8532AD">
      <w:pPr>
        <w:spacing w:line="500" w:lineRule="exact"/>
        <w:ind w:firstLine="420" w:firstLineChars="200"/>
        <w:rPr>
          <w:rFonts w:hint="eastAsia" w:ascii="楷体_GB2312" w:hAnsi="宋体" w:eastAsia="楷体_GB2312"/>
          <w:kern w:val="0"/>
          <w:szCs w:val="21"/>
          <w:lang w:val="ru-RU"/>
        </w:rPr>
      </w:pPr>
      <w:r>
        <w:rPr>
          <w:rFonts w:hint="eastAsia" w:ascii="楷体_GB2312" w:hAnsi="宋体" w:eastAsia="楷体_GB2312"/>
          <w:kern w:val="0"/>
          <w:szCs w:val="21"/>
          <w:lang w:val="ru-RU"/>
        </w:rPr>
        <w:t>c)建立质量信息管理系统，提供和保障信息管理所需的设施。</w:t>
      </w:r>
    </w:p>
    <w:p w14:paraId="7DD05666">
      <w:pPr>
        <w:spacing w:line="500" w:lineRule="exact"/>
        <w:ind w:firstLine="420" w:firstLineChars="200"/>
        <w:rPr>
          <w:rFonts w:hint="eastAsia" w:ascii="楷体_GB2312" w:hAnsi="宋体" w:eastAsia="楷体_GB2312"/>
          <w:kern w:val="0"/>
          <w:szCs w:val="21"/>
          <w:lang w:val="ru-RU"/>
        </w:rPr>
      </w:pPr>
      <w:r>
        <w:rPr>
          <w:rFonts w:hint="eastAsia" w:ascii="楷体_GB2312" w:hAnsi="宋体" w:eastAsia="楷体_GB2312"/>
          <w:kern w:val="0"/>
          <w:szCs w:val="21"/>
          <w:lang w:val="ru-RU"/>
        </w:rPr>
        <w:t>d)各职能部门按规定通过不同渠道对各种质量信息进行准确收集、妥善贮存、快速传递、及时处理和有效利用，加强质量信息的安全性、保密性，评价和改进质量信息管理系统，促进质量管理体系有效运行。产品质量信息管理应满足顾客的需要，由品质部归口管理。</w:t>
      </w:r>
    </w:p>
    <w:p w14:paraId="09ED9E32">
      <w:pPr>
        <w:spacing w:line="500" w:lineRule="exact"/>
        <w:ind w:firstLine="422" w:firstLineChars="200"/>
        <w:rPr>
          <w:rFonts w:ascii="楷体_GB2312" w:hAnsi="宋体" w:eastAsia="楷体_GB2312"/>
          <w:b/>
          <w:kern w:val="0"/>
          <w:szCs w:val="21"/>
          <w:lang w:val="ru-RU"/>
        </w:rPr>
      </w:pPr>
      <w:r>
        <w:rPr>
          <w:rFonts w:hint="eastAsia" w:ascii="楷体_GB2312" w:hAnsi="宋体" w:eastAsia="楷体_GB2312"/>
          <w:b/>
          <w:kern w:val="0"/>
          <w:szCs w:val="21"/>
          <w:lang w:val="ru-RU"/>
        </w:rPr>
        <w:t>7.6.2质量信息的范围</w:t>
      </w:r>
    </w:p>
    <w:p w14:paraId="60629090">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质量管理体系运行信息；</w:t>
      </w:r>
    </w:p>
    <w:p w14:paraId="31057AC9">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计划目标实现信息；</w:t>
      </w:r>
    </w:p>
    <w:p w14:paraId="19B805A0">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各类沟通信息；</w:t>
      </w:r>
    </w:p>
    <w:p w14:paraId="68C843C0">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法律法规、标准信息；</w:t>
      </w:r>
    </w:p>
    <w:p w14:paraId="07CE293E">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顾客要求、反馈信息；</w:t>
      </w:r>
    </w:p>
    <w:p w14:paraId="05AAEE6C">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质量问题、故障、不合格品信息；</w:t>
      </w:r>
    </w:p>
    <w:p w14:paraId="12EDAECE">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顾客抱怨信息；</w:t>
      </w:r>
    </w:p>
    <w:p w14:paraId="56016157">
      <w:pPr>
        <w:spacing w:line="500" w:lineRule="exact"/>
        <w:ind w:firstLine="420" w:firstLineChars="200"/>
        <w:rPr>
          <w:rFonts w:hint="eastAsia" w:ascii="楷体_GB2312" w:hAnsi="宋体" w:eastAsia="楷体_GB2312"/>
          <w:kern w:val="0"/>
          <w:szCs w:val="21"/>
          <w:lang w:val="ru-RU"/>
        </w:rPr>
      </w:pPr>
      <w:r>
        <w:rPr>
          <w:rFonts w:hint="eastAsia" w:ascii="楷体_GB2312" w:hAnsi="宋体" w:eastAsia="楷体_GB2312"/>
          <w:kern w:val="0"/>
          <w:szCs w:val="21"/>
          <w:lang w:val="ru-RU"/>
        </w:rPr>
        <w:t>会议信息；</w:t>
      </w:r>
    </w:p>
    <w:p w14:paraId="02B8C7B6">
      <w:pPr>
        <w:spacing w:line="500" w:lineRule="exact"/>
        <w:ind w:firstLine="422" w:firstLineChars="200"/>
        <w:rPr>
          <w:rFonts w:ascii="楷体_GB2312" w:hAnsi="宋体" w:eastAsia="楷体_GB2312"/>
          <w:b/>
          <w:kern w:val="0"/>
          <w:szCs w:val="21"/>
          <w:lang w:val="ru-RU"/>
        </w:rPr>
      </w:pPr>
      <w:r>
        <w:rPr>
          <w:rFonts w:hint="eastAsia" w:ascii="楷体_GB2312" w:hAnsi="宋体" w:eastAsia="楷体_GB2312"/>
          <w:b/>
          <w:kern w:val="0"/>
          <w:szCs w:val="21"/>
          <w:lang w:val="ru-RU"/>
        </w:rPr>
        <w:t>7.6.3质量信息的收集和传递</w:t>
      </w:r>
    </w:p>
    <w:p w14:paraId="6FF6CD2E">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各部门根据职责分工负责按要求收集、传递质量信息。</w:t>
      </w:r>
    </w:p>
    <w:p w14:paraId="54C9155B">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质量信息传递方式包括：</w:t>
      </w:r>
    </w:p>
    <w:p w14:paraId="161B602F">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各类会议</w:t>
      </w:r>
    </w:p>
    <w:p w14:paraId="4D7E21B3">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宣传教育培训</w:t>
      </w:r>
    </w:p>
    <w:p w14:paraId="12DAC51E">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网络平台信息发布</w:t>
      </w:r>
    </w:p>
    <w:p w14:paraId="4BA00669">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电话、传真</w:t>
      </w:r>
    </w:p>
    <w:p w14:paraId="54D8744E">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文件传阅</w:t>
      </w:r>
    </w:p>
    <w:p w14:paraId="42D3830F">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信息传递单</w:t>
      </w:r>
    </w:p>
    <w:p w14:paraId="0223B713">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工作计划</w:t>
      </w:r>
    </w:p>
    <w:p w14:paraId="68FFAAE1">
      <w:pPr>
        <w:spacing w:line="500" w:lineRule="exact"/>
        <w:ind w:firstLine="422" w:firstLineChars="200"/>
        <w:rPr>
          <w:rFonts w:ascii="楷体_GB2312" w:hAnsi="宋体" w:eastAsia="楷体_GB2312"/>
          <w:b/>
          <w:kern w:val="0"/>
          <w:szCs w:val="21"/>
          <w:lang w:val="ru-RU"/>
        </w:rPr>
      </w:pPr>
      <w:r>
        <w:rPr>
          <w:rFonts w:hint="eastAsia" w:ascii="楷体_GB2312" w:hAnsi="宋体" w:eastAsia="楷体_GB2312"/>
          <w:b/>
          <w:kern w:val="0"/>
          <w:szCs w:val="21"/>
          <w:lang w:val="ru-RU"/>
        </w:rPr>
        <w:t>7.6.4质量信息的分析处置</w:t>
      </w:r>
    </w:p>
    <w:p w14:paraId="62D38F09">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各部门根据工作分工在对获取的质量信息按规定传递的同时，需及时组织对质量信息进行沟通、分析和处置，编写各类表格、报告，并将处置结果按要求及时传递上报。</w:t>
      </w:r>
    </w:p>
    <w:p w14:paraId="3936A18A">
      <w:pPr>
        <w:spacing w:line="500" w:lineRule="exact"/>
        <w:ind w:firstLine="422" w:firstLineChars="200"/>
        <w:rPr>
          <w:rFonts w:ascii="楷体_GB2312" w:hAnsi="宋体" w:eastAsia="楷体_GB2312"/>
          <w:b/>
          <w:kern w:val="0"/>
          <w:szCs w:val="21"/>
          <w:lang w:val="ru-RU"/>
        </w:rPr>
      </w:pPr>
      <w:r>
        <w:rPr>
          <w:rFonts w:hint="eastAsia" w:ascii="楷体_GB2312" w:hAnsi="宋体" w:eastAsia="楷体_GB2312"/>
          <w:b/>
          <w:kern w:val="0"/>
          <w:szCs w:val="21"/>
          <w:lang w:val="ru-RU"/>
        </w:rPr>
        <w:t>7.6.5质量信息的贮存和应用</w:t>
      </w:r>
    </w:p>
    <w:p w14:paraId="5B4209D9">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各部门根据工作分工贮存质量信息，并对质量信息开展统计分析，查找规律实施改进，并及时将有用信息转化为案例和知识。</w:t>
      </w:r>
    </w:p>
    <w:p w14:paraId="29CA2A98">
      <w:pPr>
        <w:spacing w:line="500" w:lineRule="exact"/>
        <w:ind w:firstLine="422" w:firstLineChars="200"/>
        <w:rPr>
          <w:rFonts w:ascii="楷体_GB2312" w:hAnsi="宋体" w:eastAsia="楷体_GB2312"/>
          <w:b/>
          <w:kern w:val="0"/>
          <w:szCs w:val="21"/>
          <w:lang w:val="ru-RU"/>
        </w:rPr>
      </w:pPr>
      <w:r>
        <w:rPr>
          <w:rFonts w:hint="eastAsia" w:ascii="楷体_GB2312" w:hAnsi="宋体" w:eastAsia="楷体_GB2312"/>
          <w:b/>
          <w:kern w:val="0"/>
          <w:szCs w:val="21"/>
          <w:lang w:val="ru-RU"/>
        </w:rPr>
        <w:t>7.6.6质量信息管理的绩效评价</w:t>
      </w:r>
    </w:p>
    <w:p w14:paraId="35FF543F">
      <w:pPr>
        <w:spacing w:line="500" w:lineRule="exact"/>
        <w:ind w:firstLine="420" w:firstLineChars="200"/>
        <w:rPr>
          <w:rFonts w:hint="eastAsia"/>
        </w:rPr>
      </w:pPr>
      <w:r>
        <w:rPr>
          <w:rFonts w:hint="eastAsia" w:ascii="楷体_GB2312" w:hAnsi="宋体" w:eastAsia="楷体_GB2312"/>
          <w:kern w:val="0"/>
          <w:szCs w:val="21"/>
          <w:lang w:val="ru-RU"/>
        </w:rPr>
        <w:t>品质部负责对质量信息管理过程的监视、测量、分析和评价，对照质量目标和绩效目标对质量信息的范围、收集和传递的及时性、有效性，以及信息利用等满足要求的情况开展总结评价并实施改进。</w:t>
      </w:r>
    </w:p>
    <w:p w14:paraId="17DB6761">
      <w:pPr>
        <w:pStyle w:val="2"/>
        <w:jc w:val="left"/>
      </w:pPr>
      <w:bookmarkStart w:id="120" w:name="_Toc17748"/>
      <w:bookmarkStart w:id="121" w:name="_Toc536539688"/>
      <w:r>
        <w:rPr>
          <w:rFonts w:hint="eastAsia"/>
        </w:rPr>
        <w:t>8 运 行</w:t>
      </w:r>
      <w:bookmarkEnd w:id="120"/>
      <w:bookmarkEnd w:id="121"/>
    </w:p>
    <w:p w14:paraId="170FBCA7">
      <w:pPr>
        <w:pStyle w:val="3"/>
      </w:pPr>
      <w:bookmarkStart w:id="122" w:name="_Toc25321"/>
      <w:bookmarkStart w:id="123" w:name="_Toc536539689"/>
      <w:r>
        <w:rPr>
          <w:rFonts w:hint="eastAsia"/>
        </w:rPr>
        <w:t>8.1 运行策划和控制</w:t>
      </w:r>
      <w:bookmarkEnd w:id="122"/>
      <w:bookmarkEnd w:id="123"/>
    </w:p>
    <w:p w14:paraId="13A7436E">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各部门应按照相应的职责分工策划、实施和控制满足要求和本手册4.4节“质量管理体系及其过程</w:t>
      </w:r>
      <w:r>
        <w:rPr>
          <w:rFonts w:ascii="宋体" w:hAnsi="宋体" w:cs="Arial"/>
          <w:kern w:val="0"/>
          <w:szCs w:val="21"/>
        </w:rPr>
        <w:t>”</w:t>
      </w:r>
      <w:r>
        <w:rPr>
          <w:rFonts w:hint="eastAsia" w:ascii="宋体" w:hAnsi="宋体" w:cs="Arial"/>
          <w:kern w:val="0"/>
          <w:szCs w:val="21"/>
        </w:rPr>
        <w:t>概述的、提供符合要求的产品和服务及实施本手册第六章所确定的措施所需的过程，通过：</w:t>
      </w:r>
    </w:p>
    <w:p w14:paraId="57AA821D">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a)确定产品和服务的要求；</w:t>
      </w:r>
    </w:p>
    <w:p w14:paraId="46EE21EE">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b)建立过程控制准则、接收产品和服务的准则；</w:t>
      </w:r>
    </w:p>
    <w:p w14:paraId="5C2DD94F">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c)确定</w:t>
      </w:r>
      <w:r>
        <w:rPr>
          <w:rFonts w:hint="eastAsia" w:ascii="宋体" w:hAnsi="Arial" w:cs="宋体"/>
          <w:kern w:val="0"/>
          <w:szCs w:val="21"/>
        </w:rPr>
        <w:t>所需的资源以使产品和服务符合要求,</w:t>
      </w:r>
      <w:r>
        <w:rPr>
          <w:rFonts w:hint="eastAsia" w:ascii="宋体" w:hAnsi="宋体" w:cs="Arial"/>
          <w:kern w:val="0"/>
          <w:szCs w:val="21"/>
        </w:rPr>
        <w:t>包括人员、设备设施等；</w:t>
      </w:r>
    </w:p>
    <w:p w14:paraId="237EAFE8">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d)按照准则对过程实施控制，防止偏离质量方针、质量目标、产品和服务的要求；</w:t>
      </w:r>
    </w:p>
    <w:p w14:paraId="7722F8AC">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e)在需要的范围内保留成文信息（如产品加工工艺，制作清单、检验规范、管理方案、控制制度和措施、应急预案和工艺卡片、检验记录、试验报告等），为过程按策划执行提供信任，并证实其符合性。</w:t>
      </w:r>
    </w:p>
    <w:p w14:paraId="2B0634BF">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cs="Arial"/>
          <w:kern w:val="0"/>
          <w:szCs w:val="21"/>
        </w:rPr>
        <w:t>f)</w:t>
      </w:r>
      <w:r>
        <w:rPr>
          <w:rFonts w:hint="eastAsia" w:ascii="楷体_GB2312" w:hAnsi="宋体" w:eastAsia="楷体_GB2312"/>
          <w:szCs w:val="21"/>
        </w:rPr>
        <w:t>确定产品通用化、系列化、组合化以及接口、互换性要求，以及所需的标准及标准化要求，编制产品标准化大纲；</w:t>
      </w:r>
    </w:p>
    <w:p w14:paraId="4877BC3B">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cs="Arial"/>
          <w:kern w:val="0"/>
          <w:szCs w:val="21"/>
        </w:rPr>
        <w:t>g)</w:t>
      </w:r>
      <w:r>
        <w:rPr>
          <w:rFonts w:hint="eastAsia" w:ascii="楷体_GB2312" w:hAnsi="宋体" w:eastAsia="楷体_GB2312"/>
          <w:szCs w:val="21"/>
        </w:rPr>
        <w:t>按照GJB 450 《装备可靠性工作通用要求》、GJB 368 《装备维修性工作通用要求》、GJB 3872 《装备综合保障通用要求》、GJB 2547 《装备测试性工作通用要求》、GJB 900 《装备安全性工作通用要求》、GJB4239 《装备环境工程通用要求》以及GJB1909 《装备可靠性维修性保障性要求论证》等标准的要求，确定通用质量特性定性、定量要求及工作项目要求，制定通用质量特性工作计划，提出元器件、原材料选择与控制要求；结合系统设计，综合权衡、分解通用质量特性定性定量要求，开展通用质量特性分析、设计、验证，提出并落实预防和改进措施；</w:t>
      </w:r>
    </w:p>
    <w:p w14:paraId="7D24A829">
      <w:pPr>
        <w:widowControl/>
        <w:spacing w:line="360" w:lineRule="auto"/>
        <w:ind w:firstLine="210" w:firstLineChars="100"/>
        <w:jc w:val="left"/>
        <w:rPr>
          <w:rFonts w:hint="eastAsia" w:ascii="楷体_GB2312" w:hAnsi="宋体" w:eastAsia="楷体_GB2312" w:cs="Arial"/>
          <w:kern w:val="0"/>
          <w:szCs w:val="21"/>
        </w:rPr>
      </w:pPr>
      <w:r>
        <w:rPr>
          <w:rFonts w:hint="eastAsia" w:ascii="楷体_GB2312" w:hAnsi="宋体" w:eastAsia="楷体_GB2312" w:cs="Arial"/>
          <w:kern w:val="0"/>
          <w:szCs w:val="21"/>
        </w:rPr>
        <w:t>h)</w:t>
      </w:r>
      <w:r>
        <w:rPr>
          <w:rFonts w:hint="eastAsia" w:ascii="楷体_GB2312" w:hAnsi="宋体" w:eastAsia="楷体_GB2312"/>
          <w:szCs w:val="21"/>
        </w:rPr>
        <w:t>按照GJB2786 《军用软件开发通用要求》的要求，确定并实施软件需求分析、设计、实现、测试、验收、交付等过程，以及相关的策划与跟踪、文档编制、质量保证、配置管理等；（公司产品现阶段没有软件过程）</w:t>
      </w:r>
    </w:p>
    <w:p w14:paraId="6280AE90">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cs="Arial"/>
          <w:kern w:val="0"/>
          <w:szCs w:val="21"/>
        </w:rPr>
        <w:t>i)</w:t>
      </w:r>
      <w:r>
        <w:rPr>
          <w:rFonts w:hint="eastAsia" w:ascii="楷体_GB2312" w:hAnsi="宋体" w:eastAsia="楷体_GB2312"/>
          <w:szCs w:val="21"/>
        </w:rPr>
        <w:t>按照GJB3206 《技术状态管理》的要求，确定技术状态基线及其技术状态项，编制技术状态管理计划，实施技术状态标识、控制、纪实、审核；</w:t>
      </w:r>
    </w:p>
    <w:p w14:paraId="4F02B98F">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cs="Arial"/>
          <w:kern w:val="0"/>
          <w:szCs w:val="21"/>
        </w:rPr>
        <w:t>j)</w:t>
      </w:r>
      <w:r>
        <w:rPr>
          <w:rFonts w:hint="eastAsia" w:ascii="楷体_GB2312" w:hAnsi="宋体" w:eastAsia="楷体_GB2312"/>
          <w:szCs w:val="21"/>
        </w:rPr>
        <w:t>按照GJB5852 《装备研制风险分析要求》及相关规定要求，分析评估技术、质量、进度、经费风险对产品和服务质量的影响，形成风险分析评估报告，制定风险管理计划，实施风险控制；</w:t>
      </w:r>
    </w:p>
    <w:p w14:paraId="09DFD50E">
      <w:pPr>
        <w:widowControl/>
        <w:spacing w:line="360" w:lineRule="auto"/>
        <w:ind w:firstLine="420" w:firstLineChars="200"/>
        <w:jc w:val="left"/>
        <w:rPr>
          <w:rFonts w:hint="eastAsia" w:ascii="楷体_GB2312" w:hAnsi="宋体" w:eastAsia="楷体_GB2312"/>
          <w:szCs w:val="21"/>
        </w:rPr>
      </w:pPr>
      <w:r>
        <w:rPr>
          <w:rFonts w:hint="eastAsia" w:ascii="楷体_GB2312" w:hAnsi="宋体" w:eastAsia="楷体_GB2312" w:cs="Arial"/>
          <w:kern w:val="0"/>
          <w:szCs w:val="21"/>
        </w:rPr>
        <w:t>k)</w:t>
      </w:r>
      <w:r>
        <w:rPr>
          <w:rFonts w:hint="eastAsia" w:ascii="楷体_GB2312" w:hAnsi="宋体" w:eastAsia="楷体_GB2312"/>
          <w:szCs w:val="21"/>
        </w:rPr>
        <w:t>按</w:t>
      </w:r>
      <w:r>
        <w:rPr>
          <w:rFonts w:hint="eastAsia" w:ascii="楷体_GB2312" w:hAnsi="宋体" w:eastAsia="楷体_GB2312"/>
          <w:kern w:val="0"/>
          <w:szCs w:val="21"/>
          <w:lang w:val="ru-RU"/>
        </w:rPr>
        <w:t>《质量信息控制程序》</w:t>
      </w:r>
      <w:r>
        <w:rPr>
          <w:rFonts w:hint="eastAsia" w:ascii="楷体_GB2312" w:hAnsi="宋体" w:eastAsia="楷体_GB2312"/>
          <w:szCs w:val="21"/>
        </w:rPr>
        <w:t>要求，收集、分析质量信息，对产品和服务质量的符合性、过程有效性进行评价，并应用于产品和服务过程的控制。</w:t>
      </w:r>
    </w:p>
    <w:p w14:paraId="12805B31">
      <w:pPr>
        <w:widowControl/>
        <w:spacing w:line="360" w:lineRule="auto"/>
        <w:ind w:firstLine="420" w:firstLineChars="200"/>
        <w:jc w:val="left"/>
        <w:rPr>
          <w:rFonts w:hint="eastAsia" w:ascii="宋体" w:hAnsi="宋体" w:cs="宋体"/>
          <w:szCs w:val="21"/>
        </w:rPr>
      </w:pPr>
      <w:r>
        <w:rPr>
          <w:rFonts w:hint="eastAsia" w:ascii="宋体" w:hAnsi="宋体" w:cs="宋体"/>
          <w:szCs w:val="21"/>
        </w:rPr>
        <w:t>策划的输出应适用于组织的运行。</w:t>
      </w:r>
    </w:p>
    <w:p w14:paraId="7044D613">
      <w:pPr>
        <w:widowControl/>
        <w:spacing w:line="360" w:lineRule="auto"/>
        <w:ind w:firstLine="420" w:firstLineChars="200"/>
        <w:jc w:val="left"/>
        <w:rPr>
          <w:rFonts w:hint="eastAsia" w:ascii="宋体" w:hAnsi="宋体" w:cs="Arial"/>
          <w:kern w:val="0"/>
          <w:szCs w:val="21"/>
        </w:rPr>
      </w:pPr>
      <w:r>
        <w:rPr>
          <w:rFonts w:hint="eastAsia" w:ascii="宋体" w:hAnsi="宋体" w:cs="宋体"/>
          <w:szCs w:val="21"/>
        </w:rPr>
        <w:t>对策划的更改按相应的更改程序履行审批并实施控制，更改前由研发部组织评审非预期变更的后果。对于关键、重大项目的更改，须制定应急措施，以应对风险和机遇并及时采取措施减轻不利影响。</w:t>
      </w:r>
    </w:p>
    <w:p w14:paraId="6F3A8EC1">
      <w:pPr>
        <w:widowControl/>
        <w:spacing w:line="360" w:lineRule="auto"/>
        <w:ind w:firstLine="420" w:firstLineChars="200"/>
        <w:jc w:val="left"/>
        <w:rPr>
          <w:rFonts w:hint="eastAsia" w:ascii="宋体" w:hAnsi="宋体" w:cs="Arial"/>
          <w:kern w:val="0"/>
          <w:szCs w:val="21"/>
        </w:rPr>
      </w:pPr>
      <w:r>
        <w:rPr>
          <w:rFonts w:ascii="宋体" w:hAnsi="宋体"/>
          <w:szCs w:val="21"/>
          <w:highlight w:val="none"/>
        </w:rPr>
        <w:t>公司</w:t>
      </w:r>
      <w:r>
        <w:rPr>
          <w:rFonts w:hint="eastAsia" w:ascii="宋体" w:hAnsi="宋体"/>
          <w:szCs w:val="21"/>
          <w:highlight w:val="none"/>
        </w:rPr>
        <w:t>的</w:t>
      </w:r>
      <w:r>
        <w:rPr>
          <w:rFonts w:ascii="宋体" w:hAnsi="宋体"/>
          <w:szCs w:val="21"/>
          <w:highlight w:val="none"/>
        </w:rPr>
        <w:t>外包过程</w:t>
      </w:r>
      <w:r>
        <w:rPr>
          <w:rFonts w:hint="eastAsia" w:ascii="宋体" w:hAnsi="宋体"/>
          <w:szCs w:val="21"/>
          <w:highlight w:val="none"/>
        </w:rPr>
        <w:t>有：</w:t>
      </w:r>
      <w:r>
        <w:rPr>
          <w:rFonts w:hint="eastAsia" w:ascii="宋体" w:hAnsi="宋体" w:cs="宋体"/>
          <w:szCs w:val="21"/>
          <w:highlight w:val="yellow"/>
        </w:rPr>
        <w:t>锻造、监视与测量设备计量检测和运输过程等</w:t>
      </w:r>
      <w:r>
        <w:rPr>
          <w:rFonts w:hint="eastAsia" w:ascii="宋体" w:hAnsi="宋体" w:cs="宋体"/>
          <w:szCs w:val="21"/>
          <w:highlight w:val="none"/>
        </w:rPr>
        <w:t>。</w:t>
      </w:r>
      <w:r>
        <w:rPr>
          <w:rFonts w:hint="eastAsia" w:ascii="宋体" w:hAnsi="宋体" w:cs="宋体"/>
          <w:szCs w:val="21"/>
        </w:rPr>
        <w:t>采购部</w:t>
      </w:r>
      <w:r>
        <w:rPr>
          <w:rFonts w:ascii="宋体" w:hAnsi="宋体" w:cs="宋体"/>
          <w:szCs w:val="21"/>
        </w:rPr>
        <w:t>是外包过程的归口管理部门，负责组织外包过程</w:t>
      </w:r>
      <w:r>
        <w:rPr>
          <w:rFonts w:ascii="宋体" w:hAnsi="宋体"/>
          <w:szCs w:val="21"/>
        </w:rPr>
        <w:t>的评审，填写《外包过程评审表》，经总经理批准后实施，并由</w:t>
      </w:r>
      <w:r>
        <w:rPr>
          <w:rFonts w:hint="eastAsia" w:ascii="宋体" w:hAnsi="宋体"/>
          <w:szCs w:val="21"/>
        </w:rPr>
        <w:t>品质部</w:t>
      </w:r>
      <w:r>
        <w:rPr>
          <w:rFonts w:ascii="宋体" w:hAnsi="宋体"/>
          <w:szCs w:val="21"/>
        </w:rPr>
        <w:t>监督外包过程的</w:t>
      </w:r>
      <w:r>
        <w:rPr>
          <w:rFonts w:hint="eastAsia" w:ascii="宋体" w:hAnsi="宋体"/>
          <w:szCs w:val="21"/>
        </w:rPr>
        <w:t>执行</w:t>
      </w:r>
      <w:r>
        <w:rPr>
          <w:rFonts w:ascii="宋体" w:hAnsi="宋体"/>
          <w:szCs w:val="21"/>
        </w:rPr>
        <w:t>，</w:t>
      </w:r>
      <w:r>
        <w:rPr>
          <w:rFonts w:hint="eastAsia" w:ascii="楷体_GB2312" w:hAnsi="宋体" w:eastAsia="楷体_GB2312" w:cs="楷体_GB2312"/>
          <w:szCs w:val="21"/>
        </w:rPr>
        <w:t>对顾客关注的外包过程，应由总经理和顾客代表共同批准。</w:t>
      </w:r>
    </w:p>
    <w:p w14:paraId="4A85CC2A">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szCs w:val="21"/>
        </w:rPr>
        <w:t>研发部负责编制质量计划（或质量保证大纲），明确有关部门的职责，由品质部会签、技术主管领导批准后，发放到各有关部门组织实施。质量计划（或质量保证大纲）及调整应征得顾客同意。</w:t>
      </w:r>
    </w:p>
    <w:p w14:paraId="7B8FCC7D">
      <w:pPr>
        <w:pStyle w:val="3"/>
      </w:pPr>
      <w:bookmarkStart w:id="124" w:name="_Toc25310"/>
      <w:bookmarkStart w:id="125" w:name="_Toc536539690"/>
      <w:r>
        <w:rPr>
          <w:rFonts w:hint="eastAsia"/>
        </w:rPr>
        <w:t>8.2 确定产品和服务的要求</w:t>
      </w:r>
      <w:bookmarkEnd w:id="124"/>
      <w:bookmarkEnd w:id="125"/>
    </w:p>
    <w:p w14:paraId="1900C4F9">
      <w:pPr>
        <w:pStyle w:val="4"/>
      </w:pPr>
      <w:bookmarkStart w:id="126" w:name="_Toc11795"/>
      <w:bookmarkStart w:id="127" w:name="_Toc536539691"/>
      <w:r>
        <w:rPr>
          <w:rFonts w:hint="eastAsia"/>
        </w:rPr>
        <w:t>8.2.1顾客沟通</w:t>
      </w:r>
      <w:bookmarkEnd w:id="126"/>
      <w:bookmarkEnd w:id="127"/>
    </w:p>
    <w:p w14:paraId="044A79E8">
      <w:pPr>
        <w:spacing w:line="360" w:lineRule="auto"/>
        <w:ind w:firstLine="630" w:firstLineChars="300"/>
        <w:rPr>
          <w:rFonts w:hint="eastAsia" w:ascii="宋体" w:hAnsi="宋体"/>
          <w:sz w:val="23"/>
          <w:szCs w:val="23"/>
        </w:rPr>
      </w:pPr>
      <w:r>
        <w:rPr>
          <w:rFonts w:hint="eastAsia" w:ascii="宋体" w:hAnsi="宋体" w:cs="Arial"/>
          <w:kern w:val="0"/>
          <w:szCs w:val="21"/>
        </w:rPr>
        <w:t>营销部负责组织建立、实施并保持</w:t>
      </w:r>
      <w:r>
        <w:rPr>
          <w:rFonts w:hint="eastAsia" w:ascii="宋体" w:hAnsi="宋体"/>
          <w:sz w:val="23"/>
          <w:szCs w:val="23"/>
          <w:highlight w:val="yellow"/>
        </w:rPr>
        <w:t>《订单评审及客户沟通程序》</w:t>
      </w:r>
      <w:r>
        <w:rPr>
          <w:rFonts w:hint="eastAsia" w:ascii="宋体" w:hAnsi="宋体" w:cs="Arial"/>
          <w:kern w:val="0"/>
          <w:szCs w:val="21"/>
        </w:rPr>
        <w:t>，明确了如何就下列内容与顾客进行适当的沟通：</w:t>
      </w:r>
    </w:p>
    <w:p w14:paraId="78E4CA24">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a)与产品和服务相关的信息；</w:t>
      </w:r>
    </w:p>
    <w:p w14:paraId="5060DF96">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b)询问、合同或者订单处理，包括变更；</w:t>
      </w:r>
    </w:p>
    <w:p w14:paraId="21D71107">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c)获取有关产品和服务的顾客反馈，包括顾客抱怨；</w:t>
      </w:r>
    </w:p>
    <w:p w14:paraId="4ADE1104">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d)处置或控制顾客财产；</w:t>
      </w:r>
    </w:p>
    <w:p w14:paraId="0EBCD699">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e)关系重大时，制定有关应急措施的特定要求。</w:t>
      </w:r>
    </w:p>
    <w:p w14:paraId="12853E60">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cs="Arial"/>
          <w:kern w:val="0"/>
          <w:szCs w:val="21"/>
        </w:rPr>
        <w:t>f)</w:t>
      </w:r>
      <w:r>
        <w:rPr>
          <w:rFonts w:hint="eastAsia" w:ascii="楷体_GB2312" w:hAnsi="宋体" w:eastAsia="楷体_GB2312"/>
          <w:szCs w:val="21"/>
        </w:rPr>
        <w:t>组织有关部门制定并实施当关系重大、武器装备领域涉及因内部或外部原因，可能对实现顾客要求造成重大不利影响的情况时应急预案，由总经理批准启动应急措施，防止事态扩大、减少损失、缩小不利影响；</w:t>
      </w:r>
    </w:p>
    <w:p w14:paraId="732403B0">
      <w:pPr>
        <w:widowControl/>
        <w:spacing w:line="360" w:lineRule="auto"/>
        <w:ind w:firstLine="420" w:firstLineChars="200"/>
        <w:jc w:val="left"/>
        <w:rPr>
          <w:rFonts w:hint="eastAsia" w:ascii="楷体_GB2312" w:hAnsi="宋体" w:eastAsia="楷体_GB2312"/>
          <w:szCs w:val="21"/>
        </w:rPr>
      </w:pPr>
      <w:r>
        <w:rPr>
          <w:rFonts w:hint="eastAsia" w:ascii="楷体_GB2312" w:hAnsi="宋体" w:eastAsia="楷体_GB2312" w:cs="Arial"/>
          <w:kern w:val="0"/>
          <w:szCs w:val="21"/>
        </w:rPr>
        <w:t>g)</w:t>
      </w:r>
      <w:r>
        <w:rPr>
          <w:rFonts w:hint="eastAsia" w:ascii="楷体_GB2312" w:hAnsi="宋体" w:eastAsia="楷体_GB2312"/>
          <w:szCs w:val="21"/>
        </w:rPr>
        <w:t>产品使用、维修和保障的需求。在产品和服务过程运行中充分理解并实现合同或技术协议中顾客对产品和服务的使用、维修和保障的需求，通过与顾客沟通取得进一步的认识和共识，得到顾客的理解、支持和配合。</w:t>
      </w:r>
    </w:p>
    <w:p w14:paraId="5BEFDBC2">
      <w:pPr>
        <w:pStyle w:val="4"/>
        <w:rPr>
          <w:rFonts w:ascii="楷体_GB2312" w:hAnsi="宋体" w:eastAsia="楷体_GB2312" w:cs="Arial"/>
          <w:kern w:val="0"/>
        </w:rPr>
      </w:pPr>
      <w:bookmarkStart w:id="128" w:name="_Toc536539692"/>
      <w:bookmarkStart w:id="129" w:name="_Toc11174"/>
      <w:r>
        <w:rPr>
          <w:rFonts w:hint="eastAsia"/>
        </w:rPr>
        <w:t>8.2.2 与产品和服务有关要求的确定</w:t>
      </w:r>
      <w:bookmarkEnd w:id="128"/>
      <w:bookmarkEnd w:id="129"/>
    </w:p>
    <w:p w14:paraId="6957D82B">
      <w:pPr>
        <w:spacing w:line="360" w:lineRule="auto"/>
        <w:ind w:firstLine="420" w:firstLineChars="200"/>
        <w:rPr>
          <w:rFonts w:hint="eastAsia" w:ascii="宋体" w:hAnsi="宋体"/>
          <w:sz w:val="23"/>
          <w:szCs w:val="23"/>
        </w:rPr>
      </w:pPr>
      <w:r>
        <w:rPr>
          <w:rFonts w:hint="eastAsia" w:ascii="宋体" w:hAnsi="宋体" w:cs="Arial"/>
          <w:kern w:val="0"/>
          <w:szCs w:val="21"/>
        </w:rPr>
        <w:t>营销部按照</w:t>
      </w:r>
      <w:r>
        <w:rPr>
          <w:rFonts w:hint="eastAsia" w:ascii="宋体" w:hAnsi="宋体"/>
          <w:sz w:val="23"/>
          <w:szCs w:val="23"/>
          <w:highlight w:val="yellow"/>
        </w:rPr>
        <w:t>《订单评审及客户沟通程序》</w:t>
      </w:r>
      <w:r>
        <w:rPr>
          <w:rFonts w:hint="eastAsia" w:ascii="宋体" w:hAnsi="宋体" w:cs="Arial"/>
          <w:kern w:val="0"/>
          <w:szCs w:val="21"/>
        </w:rPr>
        <w:t>的规定，组织各部门相关人员确定提供给潜在顾客的产品和服务的要求，并确保：</w:t>
      </w:r>
    </w:p>
    <w:p w14:paraId="79EA46D4">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a)产品和服务的要求（包括公司认为必要的要求）和适用的法律法规要求得到规定；</w:t>
      </w:r>
    </w:p>
    <w:p w14:paraId="5CAF1620">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b)对公司提供的产品和服务，能够满足公司声称的要求。</w:t>
      </w:r>
    </w:p>
    <w:p w14:paraId="45111B5D">
      <w:pPr>
        <w:pStyle w:val="4"/>
        <w:rPr>
          <w:rFonts w:hint="eastAsia"/>
        </w:rPr>
      </w:pPr>
      <w:bookmarkStart w:id="130" w:name="_Toc5133"/>
      <w:bookmarkStart w:id="131" w:name="_Toc536539693"/>
      <w:r>
        <w:rPr>
          <w:rFonts w:hint="eastAsia"/>
        </w:rPr>
        <w:t>8.2.3 与产品和服务有关要求的评审</w:t>
      </w:r>
      <w:bookmarkEnd w:id="130"/>
      <w:bookmarkEnd w:id="131"/>
    </w:p>
    <w:p w14:paraId="45B5654F">
      <w:pPr>
        <w:spacing w:line="360" w:lineRule="auto"/>
        <w:rPr>
          <w:rFonts w:hint="eastAsia" w:ascii="宋体" w:hAnsi="宋体"/>
          <w:sz w:val="23"/>
          <w:szCs w:val="23"/>
        </w:rPr>
      </w:pPr>
      <w:r>
        <w:rPr>
          <w:rFonts w:ascii="宋体" w:hAnsi="宋体"/>
          <w:szCs w:val="21"/>
        </w:rPr>
        <w:t>8.2.3.1</w:t>
      </w:r>
      <w:r>
        <w:rPr>
          <w:rFonts w:hint="eastAsia" w:ascii="宋体" w:hAnsi="宋体"/>
          <w:szCs w:val="21"/>
        </w:rPr>
        <w:t>营销部</w:t>
      </w:r>
      <w:r>
        <w:rPr>
          <w:rFonts w:ascii="宋体" w:hAnsi="宋体"/>
          <w:szCs w:val="21"/>
        </w:rPr>
        <w:t>归口管理产品和服务的要求，负责</w:t>
      </w:r>
      <w:r>
        <w:rPr>
          <w:rFonts w:hint="eastAsia" w:ascii="宋体" w:hAnsi="宋体"/>
          <w:szCs w:val="21"/>
        </w:rPr>
        <w:t>按</w:t>
      </w:r>
      <w:r>
        <w:rPr>
          <w:rFonts w:hint="eastAsia" w:ascii="宋体" w:hAnsi="宋体"/>
          <w:sz w:val="23"/>
          <w:szCs w:val="23"/>
          <w:highlight w:val="yellow"/>
        </w:rPr>
        <w:t>《订单评审及客户沟通程序》</w:t>
      </w:r>
      <w:r>
        <w:rPr>
          <w:rFonts w:hint="eastAsia" w:ascii="宋体" w:hAnsi="宋体"/>
          <w:szCs w:val="21"/>
        </w:rPr>
        <w:t>组织</w:t>
      </w:r>
      <w:r>
        <w:rPr>
          <w:rFonts w:ascii="宋体" w:hAnsi="宋体"/>
          <w:szCs w:val="21"/>
        </w:rPr>
        <w:t>产品和服务要求的</w:t>
      </w:r>
      <w:r>
        <w:rPr>
          <w:rFonts w:hint="eastAsia" w:ascii="宋体" w:hAnsi="宋体"/>
          <w:szCs w:val="21"/>
        </w:rPr>
        <w:t>评审。</w:t>
      </w:r>
    </w:p>
    <w:p w14:paraId="38347F69">
      <w:pPr>
        <w:overflowPunct w:val="0"/>
        <w:spacing w:line="500" w:lineRule="exact"/>
        <w:ind w:firstLine="412" w:firstLineChars="200"/>
        <w:rPr>
          <w:rFonts w:hint="eastAsia" w:ascii="宋体" w:hAnsi="宋体"/>
          <w:szCs w:val="21"/>
        </w:rPr>
      </w:pPr>
      <w:r>
        <w:rPr>
          <w:rFonts w:ascii="宋体" w:hAnsi="宋体"/>
          <w:spacing w:val="-2"/>
          <w:szCs w:val="21"/>
        </w:rPr>
        <w:t>为了</w:t>
      </w:r>
      <w:r>
        <w:rPr>
          <w:rFonts w:ascii="宋体" w:hAnsi="宋体"/>
          <w:szCs w:val="21"/>
        </w:rPr>
        <w:t>确保有能力满足向顾客提供的产品和服务的要求</w:t>
      </w:r>
      <w:r>
        <w:rPr>
          <w:rFonts w:hint="eastAsia" w:ascii="宋体" w:hAnsi="宋体"/>
          <w:szCs w:val="21"/>
        </w:rPr>
        <w:t>，</w:t>
      </w:r>
      <w:r>
        <w:rPr>
          <w:rFonts w:ascii="宋体" w:hAnsi="宋体"/>
          <w:szCs w:val="21"/>
        </w:rPr>
        <w:t>在承诺向顾客提供产品和服务之前，</w:t>
      </w:r>
      <w:r>
        <w:rPr>
          <w:rFonts w:hint="eastAsia" w:ascii="宋体" w:hAnsi="宋体"/>
          <w:szCs w:val="21"/>
        </w:rPr>
        <w:t>如</w:t>
      </w:r>
      <w:r>
        <w:rPr>
          <w:rFonts w:ascii="宋体" w:hAnsi="宋体"/>
          <w:szCs w:val="21"/>
        </w:rPr>
        <w:t>提交标书、接受合同或订单之前以及在接受合同或订单的更改之前</w:t>
      </w:r>
      <w:r>
        <w:rPr>
          <w:rFonts w:hint="eastAsia" w:ascii="宋体" w:hAnsi="宋体"/>
          <w:szCs w:val="21"/>
        </w:rPr>
        <w:t>，</w:t>
      </w:r>
      <w:r>
        <w:rPr>
          <w:rFonts w:ascii="宋体" w:hAnsi="宋体"/>
          <w:spacing w:val="-2"/>
          <w:szCs w:val="21"/>
        </w:rPr>
        <w:t>由</w:t>
      </w:r>
      <w:r>
        <w:rPr>
          <w:rFonts w:hint="eastAsia" w:ascii="宋体" w:hAnsi="宋体"/>
          <w:spacing w:val="-2"/>
          <w:szCs w:val="21"/>
        </w:rPr>
        <w:t>分管销售</w:t>
      </w:r>
      <w:r>
        <w:rPr>
          <w:rFonts w:ascii="宋体" w:hAnsi="宋体"/>
          <w:spacing w:val="-2"/>
          <w:szCs w:val="21"/>
        </w:rPr>
        <w:t>副总</w:t>
      </w:r>
      <w:r>
        <w:rPr>
          <w:rFonts w:hint="eastAsia" w:ascii="宋体" w:hAnsi="宋体"/>
          <w:spacing w:val="-2"/>
          <w:szCs w:val="21"/>
        </w:rPr>
        <w:t>经理</w:t>
      </w:r>
      <w:r>
        <w:rPr>
          <w:rFonts w:ascii="宋体" w:hAnsi="宋体"/>
          <w:spacing w:val="-2"/>
          <w:szCs w:val="21"/>
        </w:rPr>
        <w:t>主持</w:t>
      </w:r>
      <w:r>
        <w:rPr>
          <w:rFonts w:hint="eastAsia" w:ascii="宋体" w:hAnsi="宋体"/>
          <w:spacing w:val="-2"/>
          <w:szCs w:val="21"/>
        </w:rPr>
        <w:t>，营销部、</w:t>
      </w:r>
      <w:r>
        <w:rPr>
          <w:rFonts w:hint="eastAsia" w:ascii="宋体" w:hAnsi="宋体"/>
          <w:szCs w:val="21"/>
        </w:rPr>
        <w:t>管理部</w:t>
      </w:r>
      <w:r>
        <w:rPr>
          <w:rFonts w:ascii="宋体" w:hAnsi="宋体"/>
          <w:szCs w:val="21"/>
        </w:rPr>
        <w:t>、</w:t>
      </w:r>
      <w:r>
        <w:rPr>
          <w:rFonts w:hint="eastAsia" w:ascii="宋体" w:hAnsi="宋体"/>
          <w:szCs w:val="21"/>
        </w:rPr>
        <w:t>研发部、</w:t>
      </w:r>
      <w:r>
        <w:rPr>
          <w:rFonts w:ascii="宋体" w:hAnsi="宋体"/>
          <w:szCs w:val="21"/>
        </w:rPr>
        <w:t>品质部</w:t>
      </w:r>
      <w:r>
        <w:rPr>
          <w:rFonts w:hint="eastAsia" w:ascii="宋体" w:hAnsi="宋体"/>
          <w:szCs w:val="21"/>
        </w:rPr>
        <w:t>、制造部</w:t>
      </w:r>
      <w:r>
        <w:rPr>
          <w:rFonts w:ascii="宋体" w:hAnsi="宋体"/>
          <w:szCs w:val="21"/>
        </w:rPr>
        <w:t>等部门</w:t>
      </w:r>
      <w:r>
        <w:rPr>
          <w:rFonts w:hint="eastAsia" w:ascii="宋体" w:hAnsi="宋体"/>
          <w:szCs w:val="21"/>
        </w:rPr>
        <w:t>相关人员参加</w:t>
      </w:r>
      <w:r>
        <w:rPr>
          <w:rFonts w:ascii="宋体" w:hAnsi="宋体"/>
          <w:szCs w:val="21"/>
        </w:rPr>
        <w:t>，实施产品</w:t>
      </w:r>
      <w:r>
        <w:rPr>
          <w:rFonts w:hint="eastAsia" w:ascii="宋体" w:hAnsi="宋体"/>
          <w:szCs w:val="21"/>
        </w:rPr>
        <w:t>和服务要求</w:t>
      </w:r>
      <w:r>
        <w:rPr>
          <w:rFonts w:ascii="宋体" w:hAnsi="宋体"/>
          <w:szCs w:val="21"/>
        </w:rPr>
        <w:t>的评审。评审</w:t>
      </w:r>
      <w:r>
        <w:rPr>
          <w:rFonts w:hint="eastAsia" w:ascii="宋体" w:hAnsi="宋体"/>
          <w:szCs w:val="21"/>
        </w:rPr>
        <w:t>内容包括</w:t>
      </w:r>
      <w:r>
        <w:rPr>
          <w:rFonts w:ascii="宋体" w:hAnsi="宋体"/>
          <w:szCs w:val="21"/>
        </w:rPr>
        <w:t>：</w:t>
      </w:r>
    </w:p>
    <w:p w14:paraId="7078286F">
      <w:pPr>
        <w:autoSpaceDE w:val="0"/>
        <w:autoSpaceDN w:val="0"/>
        <w:adjustRightInd w:val="0"/>
        <w:spacing w:line="500" w:lineRule="exact"/>
        <w:ind w:firstLine="420" w:firstLineChars="200"/>
        <w:jc w:val="left"/>
        <w:rPr>
          <w:rFonts w:hint="eastAsia" w:ascii="宋体" w:hAnsi="宋体"/>
          <w:kern w:val="0"/>
          <w:szCs w:val="21"/>
          <w:lang w:val="ru-RU"/>
        </w:rPr>
      </w:pPr>
      <w:r>
        <w:rPr>
          <w:rFonts w:ascii="宋体" w:hAnsi="宋体"/>
          <w:kern w:val="0"/>
          <w:szCs w:val="21"/>
          <w:lang w:val="ru-RU"/>
        </w:rPr>
        <w:t>a</w:t>
      </w:r>
      <w:r>
        <w:rPr>
          <w:rFonts w:hint="eastAsia" w:ascii="宋体" w:hAnsi="宋体" w:cs="宋体"/>
          <w:kern w:val="0"/>
          <w:szCs w:val="21"/>
          <w:lang w:val="ru-RU"/>
        </w:rPr>
        <w:t>）顾客</w:t>
      </w:r>
      <w:r>
        <w:rPr>
          <w:rFonts w:hint="eastAsia" w:ascii="宋体" w:hAnsi="宋体"/>
          <w:kern w:val="0"/>
          <w:szCs w:val="21"/>
          <w:lang w:val="ru-RU"/>
        </w:rPr>
        <w:t>规定</w:t>
      </w:r>
      <w:r>
        <w:rPr>
          <w:rFonts w:hint="eastAsia" w:ascii="宋体" w:hAnsi="宋体" w:cs="宋体"/>
          <w:kern w:val="0"/>
          <w:szCs w:val="21"/>
          <w:lang w:val="ru-RU"/>
        </w:rPr>
        <w:t>的要求，包括对交付及交付后活动的要求</w:t>
      </w:r>
      <w:r>
        <w:rPr>
          <w:rFonts w:hint="eastAsia" w:ascii="宋体" w:hAnsi="宋体"/>
          <w:kern w:val="0"/>
          <w:szCs w:val="21"/>
          <w:lang w:val="ru-RU"/>
        </w:rPr>
        <w:t>。</w:t>
      </w:r>
      <w:r>
        <w:rPr>
          <w:rFonts w:hint="eastAsia" w:ascii="宋体" w:hAnsi="宋体" w:cs="宋体"/>
          <w:kern w:val="0"/>
          <w:szCs w:val="21"/>
          <w:lang w:val="ru-RU"/>
        </w:rPr>
        <w:t>交付后活动包括保证条款规定的措施，合同义务及附加服务等；</w:t>
      </w:r>
    </w:p>
    <w:p w14:paraId="711809A1">
      <w:pPr>
        <w:autoSpaceDE w:val="0"/>
        <w:autoSpaceDN w:val="0"/>
        <w:adjustRightInd w:val="0"/>
        <w:spacing w:line="500" w:lineRule="exact"/>
        <w:ind w:firstLine="420" w:firstLineChars="200"/>
        <w:jc w:val="left"/>
        <w:rPr>
          <w:rFonts w:ascii="宋体" w:hAnsi="宋体"/>
          <w:kern w:val="0"/>
          <w:szCs w:val="21"/>
        </w:rPr>
      </w:pPr>
      <w:r>
        <w:rPr>
          <w:rFonts w:ascii="宋体" w:hAnsi="宋体"/>
          <w:kern w:val="0"/>
          <w:szCs w:val="21"/>
          <w:lang w:val="ru-RU"/>
        </w:rPr>
        <w:t>b</w:t>
      </w:r>
      <w:r>
        <w:rPr>
          <w:rFonts w:hint="eastAsia" w:ascii="宋体" w:hAnsi="宋体" w:cs="宋体"/>
          <w:kern w:val="0"/>
          <w:szCs w:val="21"/>
          <w:lang w:val="ru-RU"/>
        </w:rPr>
        <w:t>）顾客虽然没有明示，但规定的用途或已知的预期用途所必需的要求。如规定用途中涉及人体工效和感官方面的要求；已知的预期用途中设备之间的接口、兼容、扩容、零件通用性、互换性等要求；</w:t>
      </w:r>
    </w:p>
    <w:p w14:paraId="687F564F">
      <w:pPr>
        <w:autoSpaceDE w:val="0"/>
        <w:autoSpaceDN w:val="0"/>
        <w:adjustRightInd w:val="0"/>
        <w:spacing w:line="500" w:lineRule="exact"/>
        <w:ind w:firstLine="424" w:firstLineChars="202"/>
        <w:jc w:val="left"/>
        <w:rPr>
          <w:rFonts w:hint="eastAsia" w:ascii="宋体" w:hAnsi="宋体"/>
          <w:kern w:val="0"/>
          <w:szCs w:val="21"/>
          <w:lang w:val="ru-RU"/>
        </w:rPr>
      </w:pPr>
      <w:r>
        <w:rPr>
          <w:rFonts w:ascii="宋体" w:hAnsi="宋体"/>
          <w:kern w:val="0"/>
          <w:szCs w:val="21"/>
          <w:lang w:val="ru-RU"/>
        </w:rPr>
        <w:t>c</w:t>
      </w:r>
      <w:r>
        <w:rPr>
          <w:rFonts w:hint="eastAsia" w:ascii="宋体" w:hAnsi="宋体" w:cs="宋体"/>
          <w:kern w:val="0"/>
          <w:szCs w:val="21"/>
          <w:lang w:val="ru-RU"/>
        </w:rPr>
        <w:t>）</w:t>
      </w:r>
      <w:r>
        <w:rPr>
          <w:rFonts w:hint="eastAsia" w:ascii="宋体" w:hAnsi="宋体"/>
          <w:kern w:val="0"/>
          <w:szCs w:val="21"/>
          <w:lang w:val="ru-RU"/>
        </w:rPr>
        <w:t>公司</w:t>
      </w:r>
      <w:r>
        <w:rPr>
          <w:rFonts w:hint="eastAsia" w:ascii="宋体" w:hAnsi="宋体" w:cs="宋体"/>
          <w:kern w:val="0"/>
          <w:szCs w:val="21"/>
          <w:lang w:val="ru-RU"/>
        </w:rPr>
        <w:t>规定的要求</w:t>
      </w:r>
      <w:r>
        <w:rPr>
          <w:rFonts w:hint="eastAsia" w:ascii="宋体" w:hAnsi="宋体"/>
          <w:kern w:val="0"/>
          <w:szCs w:val="21"/>
          <w:lang w:val="ru-RU"/>
        </w:rPr>
        <w:t>。</w:t>
      </w:r>
      <w:r>
        <w:rPr>
          <w:rFonts w:hint="eastAsia" w:ascii="宋体" w:hAnsi="宋体" w:cs="宋体"/>
          <w:kern w:val="0"/>
          <w:szCs w:val="21"/>
          <w:lang w:val="ru-RU"/>
        </w:rPr>
        <w:t>公司认为必要的任何附加要求，如企业内控标准等</w:t>
      </w:r>
      <w:r>
        <w:rPr>
          <w:rFonts w:hint="eastAsia" w:ascii="宋体" w:hAnsi="宋体"/>
          <w:kern w:val="0"/>
          <w:szCs w:val="21"/>
          <w:lang w:val="ru-RU"/>
        </w:rPr>
        <w:t>；</w:t>
      </w:r>
    </w:p>
    <w:p w14:paraId="1B25E83E">
      <w:pPr>
        <w:autoSpaceDE w:val="0"/>
        <w:autoSpaceDN w:val="0"/>
        <w:adjustRightInd w:val="0"/>
        <w:spacing w:line="500" w:lineRule="exact"/>
        <w:ind w:firstLine="424" w:firstLineChars="202"/>
        <w:jc w:val="left"/>
        <w:rPr>
          <w:rFonts w:ascii="宋体" w:hAnsi="宋体"/>
          <w:kern w:val="0"/>
          <w:szCs w:val="21"/>
          <w:lang w:val="ru-RU"/>
        </w:rPr>
      </w:pPr>
      <w:r>
        <w:rPr>
          <w:rFonts w:ascii="宋体" w:hAnsi="宋体"/>
          <w:kern w:val="0"/>
          <w:szCs w:val="21"/>
          <w:lang w:val="ru-RU"/>
        </w:rPr>
        <w:t>d</w:t>
      </w:r>
      <w:r>
        <w:rPr>
          <w:rFonts w:hint="eastAsia" w:ascii="宋体" w:hAnsi="宋体" w:cs="宋体"/>
          <w:kern w:val="0"/>
          <w:szCs w:val="21"/>
          <w:lang w:val="ru-RU"/>
        </w:rPr>
        <w:t>）适用于产品和服务的法律法规要求</w:t>
      </w:r>
      <w:r>
        <w:rPr>
          <w:rFonts w:hint="eastAsia" w:ascii="宋体" w:hAnsi="宋体"/>
          <w:kern w:val="0"/>
          <w:szCs w:val="21"/>
          <w:lang w:val="ru-RU"/>
        </w:rPr>
        <w:t>。</w:t>
      </w:r>
      <w:r>
        <w:rPr>
          <w:rFonts w:hint="eastAsia" w:ascii="宋体" w:hAnsi="宋体" w:cs="宋体"/>
          <w:kern w:val="0"/>
          <w:szCs w:val="21"/>
          <w:lang w:val="ru-RU"/>
        </w:rPr>
        <w:t>适用于产品</w:t>
      </w:r>
      <w:r>
        <w:rPr>
          <w:rFonts w:hint="eastAsia" w:ascii="宋体" w:hAnsi="宋体"/>
          <w:kern w:val="0"/>
          <w:szCs w:val="21"/>
          <w:lang w:val="ru-RU"/>
        </w:rPr>
        <w:t>和服务</w:t>
      </w:r>
      <w:r>
        <w:rPr>
          <w:rFonts w:hint="eastAsia" w:ascii="宋体" w:hAnsi="宋体" w:cs="宋体"/>
          <w:kern w:val="0"/>
          <w:szCs w:val="21"/>
          <w:lang w:val="ru-RU"/>
        </w:rPr>
        <w:t>的法律和法规中规定的</w:t>
      </w:r>
      <w:r>
        <w:rPr>
          <w:rFonts w:hint="eastAsia" w:ascii="宋体" w:hAnsi="宋体"/>
          <w:kern w:val="0"/>
          <w:szCs w:val="21"/>
          <w:lang w:val="ru-RU"/>
        </w:rPr>
        <w:t>产品标准、</w:t>
      </w:r>
      <w:r>
        <w:rPr>
          <w:rFonts w:hint="eastAsia" w:ascii="宋体" w:hAnsi="宋体" w:cs="宋体"/>
          <w:kern w:val="0"/>
          <w:szCs w:val="21"/>
          <w:lang w:val="ru-RU"/>
        </w:rPr>
        <w:t>安全、卫生、环保等要求；</w:t>
      </w:r>
    </w:p>
    <w:p w14:paraId="65AF43A1">
      <w:pPr>
        <w:overflowPunct w:val="0"/>
        <w:spacing w:line="500" w:lineRule="exact"/>
        <w:ind w:firstLine="420" w:firstLineChars="200"/>
        <w:rPr>
          <w:rFonts w:hint="eastAsia" w:ascii="宋体" w:hAnsi="宋体"/>
          <w:szCs w:val="21"/>
        </w:rPr>
      </w:pPr>
      <w:r>
        <w:rPr>
          <w:rFonts w:ascii="宋体" w:hAnsi="宋体"/>
          <w:szCs w:val="21"/>
        </w:rPr>
        <w:t>e）与</w:t>
      </w:r>
      <w:r>
        <w:rPr>
          <w:rFonts w:hint="eastAsia" w:ascii="宋体" w:hAnsi="宋体"/>
          <w:szCs w:val="21"/>
        </w:rPr>
        <w:t>以前</w:t>
      </w:r>
      <w:r>
        <w:rPr>
          <w:rFonts w:ascii="宋体" w:hAnsi="宋体"/>
          <w:szCs w:val="21"/>
        </w:rPr>
        <w:t>表述存在差异的合同或订单要求。任何与以前表述不一致的合同或订单的要求已经得到解决；</w:t>
      </w:r>
    </w:p>
    <w:p w14:paraId="09297B8B">
      <w:pPr>
        <w:overflowPunct w:val="0"/>
        <w:spacing w:line="500" w:lineRule="exact"/>
        <w:ind w:firstLine="420" w:firstLineChars="200"/>
        <w:rPr>
          <w:rFonts w:hint="eastAsia" w:ascii="楷体_GB2312" w:hAnsi="宋体" w:eastAsia="楷体_GB2312"/>
          <w:szCs w:val="21"/>
        </w:rPr>
      </w:pPr>
      <w:r>
        <w:rPr>
          <w:rFonts w:hint="eastAsia" w:ascii="楷体_GB2312" w:hAnsi="宋体" w:eastAsia="楷体_GB2312"/>
          <w:szCs w:val="21"/>
        </w:rPr>
        <w:t>f）风险及其控制措施。对技术、进度、质量、资金、交付期以及交付后的活动等风险得到识别，确保有能力并采取措施解决。</w:t>
      </w:r>
    </w:p>
    <w:p w14:paraId="0ABEC8E5">
      <w:pPr>
        <w:autoSpaceDE w:val="0"/>
        <w:autoSpaceDN w:val="0"/>
        <w:adjustRightInd w:val="0"/>
        <w:spacing w:line="500" w:lineRule="exact"/>
        <w:ind w:firstLine="424" w:firstLineChars="202"/>
        <w:jc w:val="left"/>
        <w:rPr>
          <w:rFonts w:hint="eastAsia" w:ascii="宋体" w:hAnsi="宋体"/>
          <w:kern w:val="0"/>
          <w:szCs w:val="21"/>
          <w:lang w:val="ru-RU"/>
        </w:rPr>
      </w:pPr>
      <w:r>
        <w:rPr>
          <w:rFonts w:hint="eastAsia" w:ascii="宋体" w:hAnsi="宋体" w:cs="宋体"/>
          <w:kern w:val="0"/>
          <w:szCs w:val="21"/>
          <w:lang w:val="ru-RU"/>
        </w:rPr>
        <w:t>在评审过程中，当评审人员对有关内容和要求提出疑问或修改建议时，</w:t>
      </w:r>
      <w:r>
        <w:rPr>
          <w:rFonts w:hint="eastAsia" w:ascii="宋体" w:hAnsi="宋体"/>
          <w:kern w:val="0"/>
          <w:szCs w:val="21"/>
          <w:lang w:val="ru-RU"/>
        </w:rPr>
        <w:t>营销部负责</w:t>
      </w:r>
      <w:r>
        <w:rPr>
          <w:rFonts w:hint="eastAsia" w:ascii="宋体" w:hAnsi="宋体" w:cs="宋体"/>
          <w:kern w:val="0"/>
          <w:szCs w:val="21"/>
          <w:lang w:val="ru-RU"/>
        </w:rPr>
        <w:t>与顾客联系，必要时征求其书面意见。产品和服务要求评审表</w:t>
      </w:r>
      <w:r>
        <w:rPr>
          <w:rFonts w:hint="eastAsia" w:ascii="宋体" w:hAnsi="宋体"/>
          <w:kern w:val="0"/>
          <w:szCs w:val="21"/>
          <w:lang w:val="ru-RU"/>
        </w:rPr>
        <w:t>意见</w:t>
      </w:r>
      <w:r>
        <w:rPr>
          <w:rFonts w:hint="eastAsia" w:ascii="宋体" w:hAnsi="宋体" w:cs="宋体"/>
          <w:kern w:val="0"/>
          <w:szCs w:val="21"/>
          <w:lang w:val="ru-RU"/>
        </w:rPr>
        <w:t>由</w:t>
      </w:r>
      <w:r>
        <w:rPr>
          <w:rFonts w:hint="eastAsia" w:ascii="宋体" w:hAnsi="宋体"/>
          <w:kern w:val="0"/>
          <w:szCs w:val="21"/>
          <w:lang w:val="ru-RU"/>
        </w:rPr>
        <w:t>销售</w:t>
      </w:r>
      <w:r>
        <w:rPr>
          <w:rFonts w:hint="eastAsia" w:ascii="宋体" w:hAnsi="宋体" w:cs="宋体"/>
          <w:kern w:val="0"/>
          <w:szCs w:val="21"/>
          <w:lang w:val="ru-RU"/>
        </w:rPr>
        <w:t>副总经理批准。</w:t>
      </w:r>
    </w:p>
    <w:p w14:paraId="7A92A1E8">
      <w:pPr>
        <w:autoSpaceDE w:val="0"/>
        <w:autoSpaceDN w:val="0"/>
        <w:adjustRightInd w:val="0"/>
        <w:spacing w:line="500" w:lineRule="exact"/>
        <w:ind w:firstLine="424" w:firstLineChars="202"/>
        <w:jc w:val="left"/>
        <w:rPr>
          <w:rFonts w:ascii="宋体" w:hAnsi="宋体"/>
          <w:kern w:val="0"/>
          <w:szCs w:val="21"/>
          <w:lang w:val="ru-RU"/>
        </w:rPr>
      </w:pPr>
      <w:r>
        <w:rPr>
          <w:rFonts w:hint="eastAsia" w:ascii="宋体" w:hAnsi="宋体" w:cs="宋体"/>
          <w:kern w:val="0"/>
          <w:szCs w:val="21"/>
          <w:lang w:val="ru-RU"/>
        </w:rPr>
        <w:t>若与</w:t>
      </w:r>
      <w:r>
        <w:rPr>
          <w:rFonts w:hint="eastAsia" w:ascii="宋体" w:hAnsi="宋体"/>
          <w:kern w:val="0"/>
          <w:szCs w:val="21"/>
          <w:lang w:val="ru-RU"/>
        </w:rPr>
        <w:t>以前</w:t>
      </w:r>
      <w:r>
        <w:rPr>
          <w:rFonts w:hint="eastAsia" w:ascii="宋体" w:hAnsi="宋体" w:cs="宋体"/>
          <w:kern w:val="0"/>
          <w:szCs w:val="21"/>
          <w:lang w:val="ru-RU"/>
        </w:rPr>
        <w:t>合同或订单的要求存在差异</w:t>
      </w:r>
      <w:r>
        <w:rPr>
          <w:rFonts w:hint="eastAsia" w:ascii="宋体" w:hAnsi="宋体"/>
          <w:kern w:val="0"/>
          <w:szCs w:val="21"/>
          <w:lang w:val="ru-RU"/>
        </w:rPr>
        <w:t>或不一致</w:t>
      </w:r>
      <w:r>
        <w:rPr>
          <w:rFonts w:hint="eastAsia" w:ascii="宋体" w:hAnsi="宋体" w:cs="宋体"/>
          <w:kern w:val="0"/>
          <w:szCs w:val="21"/>
          <w:lang w:val="ru-RU"/>
        </w:rPr>
        <w:t>，</w:t>
      </w:r>
      <w:r>
        <w:rPr>
          <w:rFonts w:hint="eastAsia" w:ascii="宋体" w:hAnsi="宋体"/>
          <w:kern w:val="0"/>
          <w:szCs w:val="21"/>
          <w:lang w:val="ru-RU"/>
        </w:rPr>
        <w:t>公司需</w:t>
      </w:r>
      <w:r>
        <w:rPr>
          <w:rFonts w:hint="eastAsia" w:ascii="宋体" w:hAnsi="宋体" w:cs="宋体"/>
          <w:kern w:val="0"/>
          <w:szCs w:val="21"/>
          <w:lang w:val="ru-RU"/>
        </w:rPr>
        <w:t>确保有关事项已得到解决。</w:t>
      </w:r>
    </w:p>
    <w:p w14:paraId="677BC6F7">
      <w:pPr>
        <w:autoSpaceDE w:val="0"/>
        <w:autoSpaceDN w:val="0"/>
        <w:adjustRightInd w:val="0"/>
        <w:spacing w:line="500" w:lineRule="exact"/>
        <w:ind w:firstLine="424" w:firstLineChars="202"/>
        <w:jc w:val="left"/>
        <w:rPr>
          <w:rFonts w:ascii="宋体" w:hAnsi="宋体"/>
          <w:kern w:val="0"/>
          <w:szCs w:val="21"/>
          <w:lang w:val="ru-RU"/>
        </w:rPr>
      </w:pPr>
      <w:r>
        <w:rPr>
          <w:rFonts w:hint="eastAsia" w:ascii="宋体" w:hAnsi="宋体" w:cs="宋体"/>
          <w:kern w:val="0"/>
          <w:szCs w:val="21"/>
          <w:lang w:val="ru-RU"/>
        </w:rPr>
        <w:t>若顾客没有提供形成文件的要求，</w:t>
      </w:r>
      <w:r>
        <w:rPr>
          <w:rFonts w:hint="eastAsia" w:ascii="宋体" w:hAnsi="宋体"/>
          <w:kern w:val="0"/>
          <w:szCs w:val="21"/>
          <w:lang w:val="ru-RU"/>
        </w:rPr>
        <w:t>公司</w:t>
      </w:r>
      <w:r>
        <w:rPr>
          <w:rFonts w:hint="eastAsia" w:ascii="宋体" w:hAnsi="宋体" w:cs="宋体"/>
          <w:kern w:val="0"/>
          <w:szCs w:val="21"/>
          <w:lang w:val="ru-RU"/>
        </w:rPr>
        <w:t>在接受顾客要求前</w:t>
      </w:r>
      <w:r>
        <w:rPr>
          <w:rFonts w:hint="eastAsia" w:ascii="宋体" w:hAnsi="宋体"/>
          <w:kern w:val="0"/>
          <w:szCs w:val="21"/>
          <w:lang w:val="ru-RU"/>
        </w:rPr>
        <w:t>由营销部</w:t>
      </w:r>
      <w:r>
        <w:rPr>
          <w:rFonts w:hint="eastAsia" w:ascii="宋体" w:hAnsi="宋体" w:cs="宋体"/>
          <w:kern w:val="0"/>
          <w:szCs w:val="21"/>
          <w:lang w:val="ru-RU"/>
        </w:rPr>
        <w:t>对顾客要求进行确认。</w:t>
      </w:r>
    </w:p>
    <w:p w14:paraId="15D4ACF2">
      <w:pPr>
        <w:autoSpaceDE w:val="0"/>
        <w:autoSpaceDN w:val="0"/>
        <w:adjustRightInd w:val="0"/>
        <w:spacing w:line="500" w:lineRule="exact"/>
        <w:ind w:firstLine="424" w:firstLineChars="202"/>
        <w:jc w:val="left"/>
        <w:rPr>
          <w:rFonts w:ascii="宋体" w:hAnsi="宋体"/>
          <w:kern w:val="0"/>
          <w:szCs w:val="21"/>
          <w:lang w:val="ru-RU"/>
        </w:rPr>
      </w:pPr>
      <w:r>
        <w:rPr>
          <w:rFonts w:hint="eastAsia" w:ascii="宋体" w:hAnsi="宋体" w:cs="宋体"/>
          <w:kern w:val="0"/>
          <w:szCs w:val="21"/>
          <w:lang w:val="ru-RU"/>
        </w:rPr>
        <w:t>在某些情况下，如网上销售，对每一个订单进行正式的评审可能是不实际的，作为替代方法，可评审有关的产品信息，如产品目录</w:t>
      </w:r>
      <w:r>
        <w:rPr>
          <w:rFonts w:hint="eastAsia" w:ascii="宋体" w:hAnsi="宋体"/>
          <w:kern w:val="0"/>
          <w:szCs w:val="21"/>
          <w:lang w:val="ru-RU"/>
        </w:rPr>
        <w:t>等</w:t>
      </w:r>
      <w:r>
        <w:rPr>
          <w:rFonts w:hint="eastAsia" w:ascii="宋体" w:hAnsi="宋体" w:cs="宋体"/>
          <w:kern w:val="0"/>
          <w:szCs w:val="21"/>
          <w:lang w:val="ru-RU"/>
        </w:rPr>
        <w:t>。</w:t>
      </w:r>
    </w:p>
    <w:p w14:paraId="3E79DAA7">
      <w:pPr>
        <w:autoSpaceDE w:val="0"/>
        <w:autoSpaceDN w:val="0"/>
        <w:adjustRightInd w:val="0"/>
        <w:spacing w:line="500" w:lineRule="exact"/>
        <w:jc w:val="left"/>
        <w:rPr>
          <w:rFonts w:ascii="宋体" w:hAnsi="宋体"/>
          <w:kern w:val="0"/>
          <w:szCs w:val="21"/>
          <w:lang w:val="ru-RU"/>
        </w:rPr>
      </w:pPr>
      <w:r>
        <w:rPr>
          <w:rFonts w:ascii="宋体" w:hAnsi="宋体"/>
          <w:kern w:val="0"/>
          <w:szCs w:val="21"/>
          <w:lang w:val="ru-RU"/>
        </w:rPr>
        <w:t xml:space="preserve">8.2.3.2 </w:t>
      </w:r>
      <w:r>
        <w:rPr>
          <w:rFonts w:hint="eastAsia" w:ascii="宋体" w:hAnsi="宋体" w:cs="宋体"/>
          <w:kern w:val="0"/>
          <w:szCs w:val="21"/>
          <w:lang w:val="ru-RU"/>
        </w:rPr>
        <w:t>适用时，由营销部</w:t>
      </w:r>
      <w:r>
        <w:rPr>
          <w:rFonts w:ascii="宋体" w:hAnsi="宋体"/>
          <w:kern w:val="0"/>
          <w:szCs w:val="21"/>
          <w:lang w:val="ru-RU"/>
        </w:rPr>
        <w:t>保留下列成文信息</w:t>
      </w:r>
      <w:r>
        <w:rPr>
          <w:rFonts w:hint="eastAsia" w:ascii="宋体" w:hAnsi="宋体" w:cs="宋体"/>
          <w:kern w:val="0"/>
          <w:szCs w:val="21"/>
          <w:lang w:val="ru-RU"/>
        </w:rPr>
        <w:t>：</w:t>
      </w:r>
    </w:p>
    <w:p w14:paraId="21890978">
      <w:pPr>
        <w:overflowPunct w:val="0"/>
        <w:spacing w:line="500" w:lineRule="exact"/>
        <w:ind w:firstLine="420" w:firstLineChars="200"/>
        <w:rPr>
          <w:rFonts w:ascii="宋体" w:hAnsi="宋体"/>
          <w:szCs w:val="21"/>
        </w:rPr>
      </w:pPr>
      <w:r>
        <w:rPr>
          <w:rFonts w:ascii="宋体" w:hAnsi="宋体"/>
          <w:szCs w:val="21"/>
        </w:rPr>
        <w:t>a</w:t>
      </w:r>
      <w:r>
        <w:rPr>
          <w:rFonts w:hint="eastAsia" w:ascii="宋体" w:hAnsi="宋体" w:cs="宋体"/>
          <w:szCs w:val="21"/>
        </w:rPr>
        <w:t>）评审结果。</w:t>
      </w:r>
      <w:r>
        <w:rPr>
          <w:rFonts w:hint="eastAsia" w:ascii="宋体" w:hAnsi="宋体"/>
          <w:szCs w:val="21"/>
        </w:rPr>
        <w:t>营销部</w:t>
      </w:r>
      <w:r>
        <w:rPr>
          <w:rFonts w:ascii="宋体" w:hAnsi="宋体"/>
          <w:szCs w:val="21"/>
        </w:rPr>
        <w:t>负责填写并保持产品</w:t>
      </w:r>
      <w:r>
        <w:rPr>
          <w:rFonts w:hint="eastAsia" w:ascii="宋体" w:hAnsi="宋体"/>
          <w:szCs w:val="21"/>
        </w:rPr>
        <w:t>和服务</w:t>
      </w:r>
      <w:r>
        <w:rPr>
          <w:rFonts w:ascii="宋体" w:hAnsi="宋体"/>
          <w:szCs w:val="21"/>
        </w:rPr>
        <w:t>要求的评审结果及评审所引起的措施的记录</w:t>
      </w:r>
      <w:r>
        <w:rPr>
          <w:rFonts w:hint="eastAsia" w:ascii="宋体" w:hAnsi="宋体"/>
          <w:szCs w:val="21"/>
        </w:rPr>
        <w:t>；</w:t>
      </w:r>
    </w:p>
    <w:p w14:paraId="08D5B567">
      <w:pPr>
        <w:autoSpaceDE w:val="0"/>
        <w:autoSpaceDN w:val="0"/>
        <w:adjustRightInd w:val="0"/>
        <w:spacing w:line="500" w:lineRule="exact"/>
        <w:ind w:firstLine="424" w:firstLineChars="202"/>
        <w:jc w:val="left"/>
        <w:rPr>
          <w:rFonts w:ascii="宋体" w:hAnsi="宋体"/>
          <w:kern w:val="0"/>
          <w:szCs w:val="21"/>
          <w:lang w:val="ru-RU"/>
        </w:rPr>
      </w:pPr>
      <w:r>
        <w:rPr>
          <w:rFonts w:ascii="宋体" w:hAnsi="宋体"/>
          <w:kern w:val="0"/>
          <w:szCs w:val="21"/>
          <w:lang w:val="ru-RU"/>
        </w:rPr>
        <w:t>b</w:t>
      </w:r>
      <w:r>
        <w:rPr>
          <w:rFonts w:hint="eastAsia" w:ascii="宋体" w:hAnsi="宋体" w:cs="宋体"/>
          <w:kern w:val="0"/>
          <w:szCs w:val="21"/>
          <w:lang w:val="ru-RU"/>
        </w:rPr>
        <w:t>)针对产品和服务的新要求。产品和服务的新要求须形成成文信息。</w:t>
      </w:r>
    </w:p>
    <w:p w14:paraId="0D1DF541">
      <w:pPr>
        <w:pStyle w:val="4"/>
        <w:rPr>
          <w:rFonts w:hint="eastAsia"/>
        </w:rPr>
      </w:pPr>
      <w:bookmarkStart w:id="132" w:name="_Toc31590"/>
      <w:bookmarkStart w:id="133" w:name="_Toc536539694"/>
      <w:r>
        <w:rPr>
          <w:rFonts w:hint="eastAsia"/>
        </w:rPr>
        <w:t>8.2.4 产品和服务要求的更改</w:t>
      </w:r>
      <w:bookmarkEnd w:id="132"/>
      <w:bookmarkEnd w:id="133"/>
    </w:p>
    <w:p w14:paraId="00828148">
      <w:pPr>
        <w:spacing w:line="360" w:lineRule="auto"/>
        <w:ind w:firstLine="560"/>
        <w:rPr>
          <w:rFonts w:hint="eastAsia" w:ascii="宋体" w:cs="宋体"/>
          <w:kern w:val="0"/>
          <w:szCs w:val="21"/>
        </w:rPr>
      </w:pPr>
      <w:r>
        <w:rPr>
          <w:rFonts w:hint="eastAsia" w:ascii="宋体" w:cs="宋体"/>
          <w:kern w:val="0"/>
          <w:szCs w:val="21"/>
        </w:rPr>
        <w:t>若产品和服务要求发生更改时，公司营销部应确保相关的形成文件信息得到修改，并确保相关人员知道已更改的要求。</w:t>
      </w:r>
    </w:p>
    <w:p w14:paraId="65FFC77C">
      <w:pPr>
        <w:pStyle w:val="151"/>
        <w:widowControl w:val="0"/>
        <w:autoSpaceDE w:val="0"/>
        <w:autoSpaceDN w:val="0"/>
        <w:adjustRightInd w:val="0"/>
        <w:spacing w:before="0" w:after="0" w:line="500" w:lineRule="exact"/>
        <w:ind w:firstLine="630" w:firstLineChars="30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若产品和服务要求发生更改影响到实现顾客要求时，营销部负责将相应文件的修改情况以《产品和服务要求变更通知书》的形式征得顾客同意，并及时组织修改，修改内容形成记录或文件并保存。</w:t>
      </w:r>
    </w:p>
    <w:p w14:paraId="53CC56F8">
      <w:pPr>
        <w:pStyle w:val="3"/>
      </w:pPr>
      <w:bookmarkStart w:id="134" w:name="_Toc22493"/>
      <w:bookmarkStart w:id="135" w:name="_Toc536539695"/>
      <w:r>
        <w:rPr>
          <w:rFonts w:hint="eastAsia"/>
        </w:rPr>
        <w:t>8.3 产品和服务的设计和开发</w:t>
      </w:r>
      <w:bookmarkEnd w:id="134"/>
      <w:bookmarkEnd w:id="135"/>
    </w:p>
    <w:p w14:paraId="250A456F">
      <w:pPr>
        <w:pStyle w:val="4"/>
      </w:pPr>
      <w:bookmarkStart w:id="136" w:name="_Toc28258"/>
      <w:bookmarkStart w:id="137" w:name="_Toc536539696"/>
      <w:r>
        <w:rPr>
          <w:rFonts w:hint="eastAsia"/>
        </w:rPr>
        <w:t>8.3.1 总则</w:t>
      </w:r>
      <w:bookmarkEnd w:id="136"/>
      <w:bookmarkEnd w:id="137"/>
    </w:p>
    <w:p w14:paraId="665107C1">
      <w:pPr>
        <w:spacing w:line="360" w:lineRule="auto"/>
        <w:ind w:firstLine="420" w:firstLineChars="200"/>
        <w:rPr>
          <w:rFonts w:ascii="宋体" w:hAnsi="宋体"/>
          <w:sz w:val="23"/>
          <w:szCs w:val="23"/>
        </w:rPr>
      </w:pPr>
      <w:r>
        <w:rPr>
          <w:rFonts w:hint="eastAsia" w:ascii="宋体" w:cs="宋体"/>
          <w:kern w:val="0"/>
          <w:szCs w:val="21"/>
        </w:rPr>
        <w:t>公司制定、实施</w:t>
      </w:r>
      <w:r>
        <w:rPr>
          <w:rFonts w:ascii="宋体" w:hAnsi="宋体"/>
          <w:sz w:val="23"/>
          <w:szCs w:val="23"/>
          <w:highlight w:val="yellow"/>
        </w:rPr>
        <w:t>《设计和开发控制程序》</w:t>
      </w:r>
      <w:r>
        <w:rPr>
          <w:rFonts w:hint="eastAsia" w:ascii="宋体" w:cs="宋体"/>
          <w:kern w:val="0"/>
          <w:szCs w:val="21"/>
        </w:rPr>
        <w:t>，明确建立、实施和保持适当的设计和开发过程，以确保后续的产品和服务的提供。</w:t>
      </w:r>
    </w:p>
    <w:p w14:paraId="10F8AAC6">
      <w:pPr>
        <w:pStyle w:val="4"/>
        <w:rPr>
          <w:rFonts w:hint="eastAsia"/>
        </w:rPr>
      </w:pPr>
      <w:bookmarkStart w:id="138" w:name="_Toc15557"/>
      <w:bookmarkStart w:id="139" w:name="_Toc536539697"/>
      <w:r>
        <w:rPr>
          <w:rFonts w:hint="eastAsia"/>
        </w:rPr>
        <w:t>8.3.2 设计和开发策划</w:t>
      </w:r>
      <w:bookmarkEnd w:id="138"/>
      <w:bookmarkEnd w:id="139"/>
    </w:p>
    <w:p w14:paraId="3AE0C2A2">
      <w:pPr>
        <w:widowControl/>
        <w:spacing w:line="360" w:lineRule="auto"/>
        <w:ind w:firstLine="525" w:firstLineChars="250"/>
        <w:jc w:val="left"/>
        <w:rPr>
          <w:rFonts w:ascii="宋体" w:hAnsi="宋体" w:cs="Arial"/>
          <w:kern w:val="0"/>
          <w:szCs w:val="21"/>
        </w:rPr>
      </w:pPr>
      <w:r>
        <w:rPr>
          <w:rFonts w:hint="eastAsia" w:ascii="宋体" w:hAnsi="宋体" w:cs="Arial"/>
          <w:kern w:val="0"/>
          <w:szCs w:val="21"/>
        </w:rPr>
        <w:t>研发部负责公司产品设计开发控制，在确定设计和开发的各个阶段和控制时，应考虑：</w:t>
      </w:r>
    </w:p>
    <w:p w14:paraId="4E76E15F">
      <w:pPr>
        <w:widowControl/>
        <w:spacing w:line="360" w:lineRule="auto"/>
        <w:ind w:firstLine="525" w:firstLineChars="250"/>
        <w:jc w:val="left"/>
        <w:rPr>
          <w:rFonts w:ascii="宋体" w:hAnsi="宋体" w:cs="Arial"/>
          <w:kern w:val="0"/>
          <w:szCs w:val="21"/>
        </w:rPr>
      </w:pPr>
      <w:r>
        <w:rPr>
          <w:rFonts w:ascii="宋体" w:hAnsi="宋体" w:cs="Arial"/>
          <w:kern w:val="0"/>
          <w:szCs w:val="21"/>
        </w:rPr>
        <w:t>a</w:t>
      </w:r>
      <w:r>
        <w:rPr>
          <w:rFonts w:hint="eastAsia" w:ascii="宋体" w:hAnsi="宋体" w:cs="Arial"/>
          <w:kern w:val="0"/>
          <w:szCs w:val="21"/>
        </w:rPr>
        <w:t>）设计和开发活动的性质、持续时间和复杂程度；</w:t>
      </w:r>
    </w:p>
    <w:p w14:paraId="6DD5DCDE">
      <w:pPr>
        <w:widowControl/>
        <w:spacing w:line="360" w:lineRule="auto"/>
        <w:ind w:firstLine="525" w:firstLineChars="250"/>
        <w:jc w:val="left"/>
        <w:rPr>
          <w:rFonts w:ascii="宋体" w:hAnsi="宋体" w:cs="Arial"/>
          <w:kern w:val="0"/>
          <w:szCs w:val="21"/>
        </w:rPr>
      </w:pPr>
      <w:r>
        <w:rPr>
          <w:rFonts w:ascii="宋体" w:hAnsi="宋体" w:cs="Arial"/>
          <w:kern w:val="0"/>
          <w:szCs w:val="21"/>
        </w:rPr>
        <w:t>b</w:t>
      </w:r>
      <w:r>
        <w:rPr>
          <w:rFonts w:hint="eastAsia" w:ascii="宋体" w:hAnsi="宋体" w:cs="Arial"/>
          <w:kern w:val="0"/>
          <w:szCs w:val="21"/>
        </w:rPr>
        <w:t>）所需的过程阶段，包括适用的设计和开发评审；</w:t>
      </w:r>
    </w:p>
    <w:p w14:paraId="1A045B8D">
      <w:pPr>
        <w:widowControl/>
        <w:spacing w:line="360" w:lineRule="auto"/>
        <w:ind w:firstLine="525" w:firstLineChars="250"/>
        <w:jc w:val="left"/>
        <w:rPr>
          <w:rFonts w:ascii="宋体" w:hAnsi="宋体" w:cs="Arial"/>
          <w:kern w:val="0"/>
          <w:szCs w:val="21"/>
        </w:rPr>
      </w:pPr>
      <w:r>
        <w:rPr>
          <w:rFonts w:ascii="宋体" w:hAnsi="宋体" w:cs="Arial"/>
          <w:kern w:val="0"/>
          <w:szCs w:val="21"/>
        </w:rPr>
        <w:t>c</w:t>
      </w:r>
      <w:r>
        <w:rPr>
          <w:rFonts w:hint="eastAsia" w:ascii="宋体" w:hAnsi="宋体" w:cs="Arial"/>
          <w:kern w:val="0"/>
          <w:szCs w:val="21"/>
        </w:rPr>
        <w:t>）所需的设计和开发验证和确认活动；</w:t>
      </w:r>
    </w:p>
    <w:p w14:paraId="303BB6DB">
      <w:pPr>
        <w:widowControl/>
        <w:spacing w:line="360" w:lineRule="auto"/>
        <w:ind w:firstLine="525" w:firstLineChars="250"/>
        <w:jc w:val="left"/>
        <w:rPr>
          <w:rFonts w:ascii="宋体" w:hAnsi="宋体" w:cs="Arial"/>
          <w:kern w:val="0"/>
          <w:szCs w:val="21"/>
        </w:rPr>
      </w:pPr>
      <w:r>
        <w:rPr>
          <w:rFonts w:ascii="宋体" w:hAnsi="宋体" w:cs="Arial"/>
          <w:kern w:val="0"/>
          <w:szCs w:val="21"/>
        </w:rPr>
        <w:t>d</w:t>
      </w:r>
      <w:r>
        <w:rPr>
          <w:rFonts w:hint="eastAsia" w:ascii="宋体" w:hAnsi="宋体" w:cs="Arial"/>
          <w:kern w:val="0"/>
          <w:szCs w:val="21"/>
        </w:rPr>
        <w:t>）设计和开发过程涉及的职责和权限；</w:t>
      </w:r>
    </w:p>
    <w:p w14:paraId="3BDA0535">
      <w:pPr>
        <w:widowControl/>
        <w:spacing w:line="360" w:lineRule="auto"/>
        <w:ind w:firstLine="525" w:firstLineChars="250"/>
        <w:jc w:val="left"/>
        <w:rPr>
          <w:rFonts w:ascii="宋体" w:hAnsi="宋体" w:cs="Arial"/>
          <w:kern w:val="0"/>
          <w:szCs w:val="21"/>
        </w:rPr>
      </w:pPr>
      <w:r>
        <w:rPr>
          <w:rFonts w:ascii="宋体" w:hAnsi="宋体" w:cs="Arial"/>
          <w:kern w:val="0"/>
          <w:szCs w:val="21"/>
        </w:rPr>
        <w:t>e</w:t>
      </w:r>
      <w:r>
        <w:rPr>
          <w:rFonts w:hint="eastAsia" w:ascii="宋体" w:hAnsi="宋体" w:cs="Arial"/>
          <w:kern w:val="0"/>
          <w:szCs w:val="21"/>
        </w:rPr>
        <w:t>）产品和服务的设计和开发所需的内部和外部资源：</w:t>
      </w:r>
    </w:p>
    <w:p w14:paraId="6A206B98">
      <w:pPr>
        <w:widowControl/>
        <w:spacing w:line="360" w:lineRule="auto"/>
        <w:ind w:firstLine="525" w:firstLineChars="250"/>
        <w:jc w:val="left"/>
        <w:rPr>
          <w:rFonts w:ascii="宋体" w:hAnsi="宋体" w:cs="Arial"/>
          <w:kern w:val="0"/>
          <w:szCs w:val="21"/>
        </w:rPr>
      </w:pPr>
      <w:r>
        <w:rPr>
          <w:rFonts w:ascii="宋体" w:hAnsi="宋体" w:cs="Arial"/>
          <w:kern w:val="0"/>
          <w:szCs w:val="21"/>
        </w:rPr>
        <w:t>f</w:t>
      </w:r>
      <w:r>
        <w:rPr>
          <w:rFonts w:hint="eastAsia" w:ascii="宋体" w:hAnsi="宋体" w:cs="Arial"/>
          <w:kern w:val="0"/>
          <w:szCs w:val="21"/>
        </w:rPr>
        <w:t>）设计和开发过程参与人员之间接口的控制需求；</w:t>
      </w:r>
    </w:p>
    <w:p w14:paraId="15003205">
      <w:pPr>
        <w:widowControl/>
        <w:spacing w:line="360" w:lineRule="auto"/>
        <w:ind w:firstLine="525" w:firstLineChars="250"/>
        <w:jc w:val="left"/>
        <w:rPr>
          <w:rFonts w:ascii="宋体" w:hAnsi="宋体" w:cs="Arial"/>
          <w:kern w:val="0"/>
          <w:szCs w:val="21"/>
        </w:rPr>
      </w:pPr>
      <w:r>
        <w:rPr>
          <w:rFonts w:ascii="宋体" w:hAnsi="宋体" w:cs="Arial"/>
          <w:kern w:val="0"/>
          <w:szCs w:val="21"/>
        </w:rPr>
        <w:t>g</w:t>
      </w:r>
      <w:r>
        <w:rPr>
          <w:rFonts w:hint="eastAsia" w:ascii="宋体" w:hAnsi="宋体" w:cs="Arial"/>
          <w:kern w:val="0"/>
          <w:szCs w:val="21"/>
        </w:rPr>
        <w:t>）顾客和使用者参与设计和开发过程的需求；</w:t>
      </w:r>
    </w:p>
    <w:p w14:paraId="24972863">
      <w:pPr>
        <w:widowControl/>
        <w:spacing w:line="360" w:lineRule="auto"/>
        <w:ind w:firstLine="525" w:firstLineChars="250"/>
        <w:jc w:val="left"/>
        <w:rPr>
          <w:rFonts w:ascii="宋体" w:hAnsi="宋体" w:cs="Arial"/>
          <w:kern w:val="0"/>
          <w:szCs w:val="21"/>
        </w:rPr>
      </w:pPr>
      <w:r>
        <w:rPr>
          <w:rFonts w:ascii="宋体" w:hAnsi="宋体" w:cs="Arial"/>
          <w:kern w:val="0"/>
          <w:szCs w:val="21"/>
        </w:rPr>
        <w:t>h</w:t>
      </w:r>
      <w:r>
        <w:rPr>
          <w:rFonts w:hint="eastAsia" w:ascii="宋体" w:hAnsi="宋体" w:cs="Arial"/>
          <w:kern w:val="0"/>
          <w:szCs w:val="21"/>
        </w:rPr>
        <w:t>）对后续产品和服务提供的要求包括船级社对船用产品的要求；</w:t>
      </w:r>
    </w:p>
    <w:p w14:paraId="653B1F28">
      <w:pPr>
        <w:widowControl/>
        <w:spacing w:line="360" w:lineRule="auto"/>
        <w:ind w:firstLine="525" w:firstLineChars="250"/>
        <w:jc w:val="left"/>
        <w:rPr>
          <w:rFonts w:ascii="宋体" w:hAnsi="宋体" w:cs="Arial"/>
          <w:kern w:val="0"/>
          <w:szCs w:val="21"/>
        </w:rPr>
      </w:pPr>
      <w:r>
        <w:rPr>
          <w:rFonts w:ascii="宋体" w:hAnsi="宋体" w:cs="Arial"/>
          <w:kern w:val="0"/>
          <w:szCs w:val="21"/>
        </w:rPr>
        <w:t>i</w:t>
      </w:r>
      <w:r>
        <w:rPr>
          <w:rFonts w:hint="eastAsia" w:ascii="宋体" w:hAnsi="宋体" w:cs="Arial"/>
          <w:kern w:val="0"/>
          <w:szCs w:val="21"/>
        </w:rPr>
        <w:t>）顾客和其他有关相关方期望的设计和开发过程的控制水平；</w:t>
      </w:r>
    </w:p>
    <w:p w14:paraId="3457DD1E">
      <w:pPr>
        <w:widowControl/>
        <w:spacing w:line="360" w:lineRule="auto"/>
        <w:ind w:firstLine="525" w:firstLineChars="250"/>
        <w:jc w:val="left"/>
        <w:rPr>
          <w:rFonts w:hint="eastAsia" w:ascii="宋体" w:hAnsi="宋体" w:cs="Arial"/>
          <w:kern w:val="0"/>
          <w:szCs w:val="21"/>
        </w:rPr>
      </w:pPr>
      <w:r>
        <w:rPr>
          <w:rFonts w:ascii="宋体" w:hAnsi="宋体" w:cs="Arial"/>
          <w:kern w:val="0"/>
          <w:szCs w:val="21"/>
        </w:rPr>
        <w:t>j</w:t>
      </w:r>
      <w:r>
        <w:rPr>
          <w:rFonts w:hint="eastAsia" w:ascii="宋体" w:hAnsi="宋体" w:cs="Arial"/>
          <w:kern w:val="0"/>
          <w:szCs w:val="21"/>
        </w:rPr>
        <w:t>）证实已经满足设计和开发要求所需的成文信息。</w:t>
      </w:r>
    </w:p>
    <w:p w14:paraId="62E6FECD">
      <w:pPr>
        <w:autoSpaceDE w:val="0"/>
        <w:autoSpaceDN w:val="0"/>
        <w:adjustRightInd w:val="0"/>
        <w:spacing w:line="500" w:lineRule="exact"/>
        <w:ind w:firstLine="529" w:firstLineChars="252"/>
        <w:jc w:val="left"/>
        <w:rPr>
          <w:rFonts w:hint="eastAsia" w:ascii="楷体_GB2312" w:hAnsi="宋体" w:eastAsia="楷体_GB2312"/>
          <w:kern w:val="0"/>
          <w:szCs w:val="21"/>
          <w:lang w:val="ru-RU"/>
        </w:rPr>
      </w:pPr>
      <w:r>
        <w:rPr>
          <w:rFonts w:hint="eastAsia" w:ascii="楷体_GB2312" w:hAnsi="宋体" w:eastAsia="楷体_GB2312"/>
          <w:kern w:val="0"/>
          <w:szCs w:val="21"/>
          <w:lang w:val="ru-RU"/>
        </w:rPr>
        <w:t>k）设计、生产和服务等人员共同参与设计和开发活动；</w:t>
      </w:r>
    </w:p>
    <w:p w14:paraId="5BF8EEE2">
      <w:pPr>
        <w:autoSpaceDE w:val="0"/>
        <w:autoSpaceDN w:val="0"/>
        <w:adjustRightInd w:val="0"/>
        <w:spacing w:line="500" w:lineRule="exact"/>
        <w:ind w:firstLine="529" w:firstLineChars="252"/>
        <w:jc w:val="left"/>
        <w:rPr>
          <w:rFonts w:hint="eastAsia" w:ascii="楷体_GB2312" w:hAnsi="宋体" w:eastAsia="楷体_GB2312"/>
          <w:kern w:val="0"/>
          <w:szCs w:val="21"/>
          <w:lang w:val="ru-RU"/>
        </w:rPr>
      </w:pPr>
      <w:r>
        <w:rPr>
          <w:rFonts w:hint="eastAsia" w:ascii="楷体_GB2312" w:hAnsi="宋体" w:eastAsia="楷体_GB2312"/>
          <w:kern w:val="0"/>
          <w:szCs w:val="21"/>
          <w:lang w:val="ru-RU"/>
        </w:rPr>
        <w:t>l）按照GJB 190《特性分类》的要求对产品进行特性分析，形成产品和服务特性分析报告，以便为确定关键件、重要件和关键过程提供依据；</w:t>
      </w:r>
    </w:p>
    <w:p w14:paraId="2B63091A">
      <w:pPr>
        <w:overflowPunct w:val="0"/>
        <w:spacing w:line="500" w:lineRule="exact"/>
        <w:ind w:firstLine="525" w:firstLineChars="250"/>
        <w:jc w:val="left"/>
        <w:rPr>
          <w:rFonts w:hint="eastAsia" w:ascii="楷体_GB2312" w:hAnsi="宋体" w:eastAsia="楷体_GB2312"/>
          <w:szCs w:val="21"/>
        </w:rPr>
      </w:pPr>
      <w:r>
        <w:rPr>
          <w:rFonts w:hint="eastAsia" w:ascii="楷体_GB2312" w:hAnsi="宋体" w:eastAsia="楷体_GB2312"/>
          <w:szCs w:val="21"/>
        </w:rPr>
        <w:t xml:space="preserve">m）根据产品要求，识别制约产品设计和开发的关键因素和薄弱环节以及技术上的难点，进行风险分析和评估，形成风险清单，在风险分析和评估报告中确定风险接受准则和风险控制措施； </w:t>
      </w:r>
    </w:p>
    <w:p w14:paraId="16D7BCA9">
      <w:pPr>
        <w:overflowPunct w:val="0"/>
        <w:spacing w:line="500" w:lineRule="exact"/>
        <w:ind w:firstLine="525" w:firstLineChars="250"/>
        <w:jc w:val="left"/>
        <w:rPr>
          <w:rFonts w:hint="eastAsia" w:ascii="楷体_GB2312" w:hAnsi="宋体" w:eastAsia="楷体_GB2312"/>
          <w:szCs w:val="21"/>
        </w:rPr>
      </w:pPr>
      <w:r>
        <w:rPr>
          <w:rFonts w:hint="eastAsia" w:ascii="楷体_GB2312" w:hAnsi="宋体" w:eastAsia="楷体_GB2312"/>
          <w:szCs w:val="21"/>
        </w:rPr>
        <w:t>n）确定产品标准、规范，以及标准件、元器件、原材料的选用范围。编制原材料、标准件、元器件、外购件清单，作为控制和开展设计、开发、试制和试验等工作的依据；</w:t>
      </w:r>
    </w:p>
    <w:p w14:paraId="4C25ACC9">
      <w:pPr>
        <w:overflowPunct w:val="0"/>
        <w:spacing w:line="500" w:lineRule="exact"/>
        <w:ind w:firstLine="525" w:firstLineChars="250"/>
        <w:jc w:val="left"/>
        <w:rPr>
          <w:rFonts w:hint="eastAsia" w:ascii="楷体_GB2312" w:hAnsi="宋体" w:eastAsia="楷体_GB2312"/>
          <w:szCs w:val="21"/>
        </w:rPr>
      </w:pPr>
      <w:r>
        <w:rPr>
          <w:rFonts w:hint="eastAsia" w:ascii="楷体_GB2312" w:hAnsi="宋体" w:eastAsia="楷体_GB2312"/>
          <w:szCs w:val="21"/>
        </w:rPr>
        <w:t>o）制定并落实技术状态管理计划的措施，编制技术状态文件清单；</w:t>
      </w:r>
    </w:p>
    <w:p w14:paraId="3A2969D7">
      <w:pPr>
        <w:overflowPunct w:val="0"/>
        <w:spacing w:line="500" w:lineRule="exact"/>
        <w:ind w:firstLine="525" w:firstLineChars="250"/>
        <w:jc w:val="left"/>
        <w:rPr>
          <w:rFonts w:hint="eastAsia" w:ascii="楷体_GB2312" w:hAnsi="宋体" w:eastAsia="楷体_GB2312"/>
          <w:szCs w:val="21"/>
        </w:rPr>
      </w:pPr>
      <w:r>
        <w:rPr>
          <w:rFonts w:hint="eastAsia" w:ascii="楷体_GB2312" w:hAnsi="宋体" w:eastAsia="楷体_GB2312"/>
          <w:szCs w:val="21"/>
        </w:rPr>
        <w:t>p）运用产品优化设计、通用质量特性设计、</w:t>
      </w:r>
      <w:r>
        <w:rPr>
          <w:rFonts w:hint="eastAsia" w:ascii="楷体_GB2312" w:hAnsi="宋体" w:eastAsia="楷体_GB2312" w:cs="楷体_GB2312"/>
          <w:szCs w:val="21"/>
        </w:rPr>
        <w:t>人因工程设计、</w:t>
      </w:r>
      <w:r>
        <w:rPr>
          <w:rFonts w:hint="eastAsia" w:ascii="楷体_GB2312" w:hAnsi="宋体" w:eastAsia="楷体_GB2312"/>
          <w:szCs w:val="21"/>
        </w:rPr>
        <w:t>防错技术等专业工程技术进行产品设计和开发；</w:t>
      </w:r>
    </w:p>
    <w:p w14:paraId="563E3D5F">
      <w:pPr>
        <w:overflowPunct w:val="0"/>
        <w:spacing w:line="500" w:lineRule="exact"/>
        <w:ind w:firstLine="525" w:firstLineChars="250"/>
        <w:jc w:val="left"/>
        <w:rPr>
          <w:rFonts w:hint="eastAsia" w:ascii="楷体_GB2312" w:hAnsi="宋体" w:eastAsia="楷体_GB2312"/>
          <w:szCs w:val="21"/>
        </w:rPr>
      </w:pPr>
      <w:r>
        <w:rPr>
          <w:rFonts w:hint="eastAsia" w:ascii="楷体_GB2312" w:hAnsi="宋体" w:eastAsia="楷体_GB2312"/>
          <w:szCs w:val="21"/>
        </w:rPr>
        <w:t>q）在设计文件、工艺规程或检验试验规程中提出产品实现过程中监视与测量的需求、明确检验试验项目、指标要求；</w:t>
      </w:r>
    </w:p>
    <w:p w14:paraId="1B8412C4">
      <w:pPr>
        <w:overflowPunct w:val="0"/>
        <w:spacing w:line="500" w:lineRule="exact"/>
        <w:ind w:firstLine="525" w:firstLineChars="250"/>
        <w:jc w:val="left"/>
        <w:rPr>
          <w:rFonts w:hint="eastAsia" w:ascii="楷体_GB2312" w:hAnsi="宋体" w:eastAsia="楷体_GB2312"/>
          <w:szCs w:val="21"/>
        </w:rPr>
      </w:pPr>
      <w:r>
        <w:rPr>
          <w:rFonts w:hint="eastAsia" w:ascii="楷体_GB2312" w:hAnsi="宋体" w:eastAsia="楷体_GB2312"/>
          <w:szCs w:val="21"/>
        </w:rPr>
        <w:t>r）优先采用成熟技术，对采用的新技术、新器材、新工艺经过论证、试验、鉴定和评价，确保符合规定要求方可用于产品；</w:t>
      </w:r>
    </w:p>
    <w:p w14:paraId="51824CC0">
      <w:pPr>
        <w:overflowPunct w:val="0"/>
        <w:spacing w:line="500" w:lineRule="exact"/>
        <w:ind w:firstLine="525" w:firstLineChars="250"/>
        <w:jc w:val="left"/>
        <w:rPr>
          <w:rFonts w:hint="eastAsia" w:ascii="楷体_GB2312" w:hAnsi="宋体" w:eastAsia="楷体_GB2312"/>
          <w:szCs w:val="21"/>
        </w:rPr>
      </w:pPr>
      <w:r>
        <w:rPr>
          <w:rFonts w:hint="eastAsia" w:ascii="楷体_GB2312" w:hAnsi="宋体" w:eastAsia="楷体_GB2312"/>
          <w:szCs w:val="21"/>
        </w:rPr>
        <w:t>s）按合同（或技术协议书）规定的要求，确定并提出产品交付时需要配置的保障资源，如技术服务、安装、调试、随机资料，编制装箱单或产品交付清单等；</w:t>
      </w:r>
    </w:p>
    <w:p w14:paraId="4E219698">
      <w:pPr>
        <w:overflowPunct w:val="0"/>
        <w:spacing w:line="500" w:lineRule="exact"/>
        <w:ind w:firstLine="525" w:firstLineChars="250"/>
        <w:jc w:val="left"/>
        <w:rPr>
          <w:rFonts w:hint="eastAsia" w:ascii="楷体_GB2312" w:hAnsi="宋体" w:eastAsia="楷体_GB2312"/>
          <w:szCs w:val="21"/>
        </w:rPr>
      </w:pPr>
      <w:r>
        <w:rPr>
          <w:rFonts w:hint="eastAsia" w:ascii="楷体_GB2312" w:hAnsi="宋体" w:eastAsia="楷体_GB2312"/>
          <w:szCs w:val="21"/>
        </w:rPr>
        <w:t>t）提出对参与设计和开发的外部供方的控制要求，如在设计开发过程中采用参加设计评审、验证等方式进行设计质量控制；</w:t>
      </w:r>
    </w:p>
    <w:p w14:paraId="6327AF62">
      <w:pPr>
        <w:overflowPunct w:val="0"/>
        <w:spacing w:line="500" w:lineRule="exact"/>
        <w:ind w:firstLine="525" w:firstLineChars="250"/>
        <w:jc w:val="left"/>
        <w:rPr>
          <w:rFonts w:hint="eastAsia" w:ascii="楷体_GB2312" w:hAnsi="宋体" w:eastAsia="楷体_GB2312"/>
          <w:szCs w:val="21"/>
        </w:rPr>
      </w:pPr>
      <w:r>
        <w:rPr>
          <w:rFonts w:hint="eastAsia" w:ascii="楷体_GB2312" w:hAnsi="宋体" w:eastAsia="楷体_GB2312"/>
          <w:szCs w:val="21"/>
        </w:rPr>
        <w:t>u）研发部负责对元器件等外购器材的选用、采购、监制、验收、筛选、复验以及失效分析等活动进行策划，提出技术要求；</w:t>
      </w:r>
    </w:p>
    <w:p w14:paraId="414E917F">
      <w:pPr>
        <w:overflowPunct w:val="0"/>
        <w:spacing w:line="500" w:lineRule="exact"/>
        <w:ind w:firstLine="525" w:firstLineChars="250"/>
        <w:jc w:val="left"/>
        <w:rPr>
          <w:rFonts w:hint="eastAsia" w:ascii="楷体_GB2312" w:hAnsi="宋体" w:eastAsia="楷体_GB2312"/>
          <w:szCs w:val="21"/>
        </w:rPr>
      </w:pPr>
      <w:r>
        <w:rPr>
          <w:rFonts w:hint="eastAsia" w:ascii="楷体_GB2312" w:hAnsi="宋体" w:eastAsia="楷体_GB2312"/>
          <w:szCs w:val="21"/>
        </w:rPr>
        <w:t>v）</w:t>
      </w:r>
      <w:r>
        <w:rPr>
          <w:rFonts w:hint="eastAsia" w:ascii="楷体_GB2312" w:hAnsi="楷体" w:eastAsia="楷体_GB2312"/>
        </w:rPr>
        <w:t>落实软件开发计划的措施，确定软件需求分析、设计、编码、测试等要求，以及测试工作独立性的要求</w:t>
      </w:r>
    </w:p>
    <w:p w14:paraId="6BE71A32">
      <w:pPr>
        <w:overflowPunct w:val="0"/>
        <w:spacing w:line="500" w:lineRule="exact"/>
        <w:ind w:firstLine="315" w:firstLineChars="150"/>
        <w:jc w:val="left"/>
        <w:rPr>
          <w:rFonts w:hint="eastAsia" w:ascii="楷体_GB2312" w:hAnsi="宋体" w:eastAsia="楷体_GB2312"/>
          <w:szCs w:val="21"/>
        </w:rPr>
      </w:pPr>
      <w:r>
        <w:rPr>
          <w:rFonts w:hint="eastAsia" w:ascii="楷体_GB2312" w:hAnsi="宋体" w:eastAsia="楷体_GB2312"/>
          <w:i/>
          <w:szCs w:val="21"/>
        </w:rPr>
        <w:t xml:space="preserve"> </w:t>
      </w:r>
      <w:r>
        <w:rPr>
          <w:rFonts w:hint="eastAsia" w:ascii="楷体_GB2312" w:hAnsi="宋体" w:eastAsia="楷体_GB2312"/>
          <w:szCs w:val="21"/>
        </w:rPr>
        <w:t>w）当产品和服务有改进规划时，对产品和服务改进做出安排；</w:t>
      </w:r>
    </w:p>
    <w:p w14:paraId="0D891C6A">
      <w:pPr>
        <w:overflowPunct w:val="0"/>
        <w:spacing w:line="500" w:lineRule="exact"/>
        <w:ind w:firstLine="420" w:firstLineChars="200"/>
        <w:jc w:val="left"/>
        <w:rPr>
          <w:rFonts w:hint="eastAsia" w:ascii="楷体_GB2312" w:hAnsi="楷体" w:eastAsia="楷体_GB2312"/>
        </w:rPr>
      </w:pPr>
      <w:r>
        <w:rPr>
          <w:rFonts w:hint="eastAsia" w:ascii="楷体_GB2312" w:hAnsi="楷体" w:eastAsia="楷体_GB2312"/>
        </w:rPr>
        <w:t>x）对采用数字化设计、制造的产品，确定过程控制要求。数字化制造控制措施，可包括信息格式、数据转换、电子签名、版本控制及运行平台等要求。</w:t>
      </w:r>
    </w:p>
    <w:p w14:paraId="4589752C">
      <w:pPr>
        <w:autoSpaceDE w:val="0"/>
        <w:autoSpaceDN w:val="0"/>
        <w:spacing w:line="500" w:lineRule="exact"/>
        <w:ind w:firstLine="525" w:firstLineChars="250"/>
        <w:rPr>
          <w:rFonts w:hint="eastAsia" w:ascii="楷体_GB2312" w:hAnsi="宋体" w:eastAsia="楷体_GB2312"/>
          <w:szCs w:val="21"/>
        </w:rPr>
      </w:pPr>
      <w:r>
        <w:rPr>
          <w:rFonts w:hint="eastAsia" w:ascii="楷体_GB2312" w:hAnsi="楷体" w:eastAsia="楷体_GB2312"/>
        </w:rPr>
        <w:t>研发部依据产品和服务标准、合同、技术协议等要求，</w:t>
      </w:r>
      <w:r>
        <w:rPr>
          <w:rFonts w:hint="eastAsia" w:ascii="楷体_GB2312" w:hAnsi="宋体" w:eastAsia="楷体_GB2312" w:cs="楷体_GB2312"/>
          <w:szCs w:val="21"/>
        </w:rPr>
        <w:t>确定产品和服务的设计准则，包括通用质量特性的相关要求。</w:t>
      </w:r>
    </w:p>
    <w:p w14:paraId="73432545">
      <w:pPr>
        <w:overflowPunct w:val="0"/>
        <w:spacing w:line="500" w:lineRule="exact"/>
        <w:ind w:firstLine="525" w:firstLineChars="250"/>
        <w:jc w:val="left"/>
        <w:rPr>
          <w:rFonts w:hint="eastAsia" w:ascii="楷体_GB2312" w:hAnsi="楷体" w:eastAsia="楷体_GB2312"/>
        </w:rPr>
      </w:pPr>
      <w:r>
        <w:rPr>
          <w:rFonts w:hint="eastAsia" w:ascii="楷体_GB2312" w:hAnsi="楷体" w:eastAsia="楷体_GB2312"/>
        </w:rPr>
        <w:t>公司应确定产品和服务设计准则，包括通用质量特性的相关要求；</w:t>
      </w:r>
    </w:p>
    <w:p w14:paraId="43241378">
      <w:pPr>
        <w:overflowPunct w:val="0"/>
        <w:spacing w:line="500" w:lineRule="exact"/>
        <w:ind w:firstLine="525" w:firstLineChars="250"/>
        <w:jc w:val="left"/>
        <w:rPr>
          <w:rFonts w:hint="eastAsia" w:ascii="楷体_GB2312" w:hAnsi="楷体" w:eastAsia="楷体_GB2312"/>
        </w:rPr>
      </w:pPr>
      <w:r>
        <w:rPr>
          <w:rFonts w:hint="eastAsia" w:ascii="楷体_GB2312" w:hAnsi="楷体" w:eastAsia="楷体_GB2312"/>
        </w:rPr>
        <w:t>公司策划的输出文件是“项目实施方案”，随着设计开发项目的进展，适当时应对其予以调整，并进行相关的评审。</w:t>
      </w:r>
    </w:p>
    <w:p w14:paraId="37F2B310">
      <w:pPr>
        <w:pStyle w:val="4"/>
        <w:rPr>
          <w:rFonts w:hint="eastAsia"/>
        </w:rPr>
      </w:pPr>
      <w:bookmarkStart w:id="140" w:name="_Toc536539698"/>
      <w:bookmarkStart w:id="141" w:name="_Toc6837"/>
      <w:r>
        <w:rPr>
          <w:rFonts w:hint="eastAsia"/>
        </w:rPr>
        <w:t>8.3.3 设计和开发输入</w:t>
      </w:r>
      <w:bookmarkEnd w:id="140"/>
      <w:bookmarkEnd w:id="141"/>
    </w:p>
    <w:p w14:paraId="50A1DE2D">
      <w:pPr>
        <w:spacing w:line="400" w:lineRule="exact"/>
        <w:ind w:firstLine="420" w:firstLineChars="200"/>
        <w:rPr>
          <w:rFonts w:ascii="宋体" w:hAnsi="宋体" w:cs="Arial"/>
          <w:kern w:val="0"/>
          <w:szCs w:val="21"/>
        </w:rPr>
      </w:pPr>
      <w:r>
        <w:rPr>
          <w:rFonts w:hint="eastAsia" w:ascii="宋体" w:hAnsi="宋体" w:cs="Arial"/>
          <w:kern w:val="0"/>
          <w:szCs w:val="21"/>
        </w:rPr>
        <w:t xml:space="preserve"> 产品的设计输入应包括“需求规格说明书”、“可行性分析报告”等文档，要对研发项目提出质量控制要求，以《设计开发任务书》等文件的形式体现，</w:t>
      </w:r>
      <w:r>
        <w:rPr>
          <w:rFonts w:ascii="宋体" w:hAnsi="宋体" w:cs="Arial"/>
          <w:kern w:val="0"/>
          <w:szCs w:val="21"/>
        </w:rPr>
        <w:t xml:space="preserve"> </w:t>
      </w:r>
      <w:r>
        <w:rPr>
          <w:rFonts w:hint="eastAsia" w:ascii="宋体" w:hAnsi="宋体" w:cs="Arial"/>
          <w:kern w:val="0"/>
          <w:szCs w:val="21"/>
        </w:rPr>
        <w:t>研发部针对所设计和开发的具体类型的产品和服务，确定必须的要求。应考虑：</w:t>
      </w:r>
    </w:p>
    <w:p w14:paraId="676BF6DE">
      <w:pPr>
        <w:widowControl/>
        <w:spacing w:line="360" w:lineRule="auto"/>
        <w:ind w:firstLine="525" w:firstLineChars="250"/>
        <w:jc w:val="left"/>
        <w:rPr>
          <w:rFonts w:ascii="宋体" w:hAnsi="宋体" w:cs="Arial"/>
          <w:kern w:val="0"/>
          <w:szCs w:val="21"/>
        </w:rPr>
      </w:pPr>
      <w:r>
        <w:rPr>
          <w:rFonts w:ascii="宋体" w:hAnsi="宋体" w:cs="Arial"/>
          <w:kern w:val="0"/>
          <w:szCs w:val="21"/>
        </w:rPr>
        <w:t>a</w:t>
      </w:r>
      <w:r>
        <w:rPr>
          <w:rFonts w:hint="eastAsia" w:ascii="宋体" w:hAnsi="宋体" w:cs="Arial"/>
          <w:kern w:val="0"/>
          <w:szCs w:val="21"/>
        </w:rPr>
        <w:t>）功能和性能要求；</w:t>
      </w:r>
    </w:p>
    <w:p w14:paraId="7EA7A2EA">
      <w:pPr>
        <w:widowControl/>
        <w:spacing w:line="360" w:lineRule="auto"/>
        <w:ind w:firstLine="525" w:firstLineChars="250"/>
        <w:jc w:val="left"/>
        <w:rPr>
          <w:rFonts w:ascii="宋体" w:hAnsi="宋体" w:cs="Arial"/>
          <w:kern w:val="0"/>
          <w:szCs w:val="21"/>
        </w:rPr>
      </w:pPr>
      <w:r>
        <w:rPr>
          <w:rFonts w:ascii="宋体" w:hAnsi="宋体" w:cs="Arial"/>
          <w:kern w:val="0"/>
          <w:szCs w:val="21"/>
        </w:rPr>
        <w:t>b</w:t>
      </w:r>
      <w:r>
        <w:rPr>
          <w:rFonts w:hint="eastAsia" w:ascii="宋体" w:hAnsi="宋体" w:cs="Arial"/>
          <w:kern w:val="0"/>
          <w:szCs w:val="21"/>
        </w:rPr>
        <w:t>）来源于以前类似设计和开发活动的信息；</w:t>
      </w:r>
    </w:p>
    <w:p w14:paraId="453E7CED">
      <w:pPr>
        <w:widowControl/>
        <w:spacing w:line="360" w:lineRule="auto"/>
        <w:ind w:firstLine="525" w:firstLineChars="250"/>
        <w:jc w:val="left"/>
        <w:rPr>
          <w:rFonts w:ascii="宋体" w:hAnsi="宋体" w:cs="Arial"/>
          <w:kern w:val="0"/>
          <w:szCs w:val="21"/>
        </w:rPr>
      </w:pPr>
      <w:r>
        <w:rPr>
          <w:rFonts w:ascii="宋体" w:hAnsi="宋体" w:cs="Arial"/>
          <w:kern w:val="0"/>
          <w:szCs w:val="21"/>
        </w:rPr>
        <w:t>c</w:t>
      </w:r>
      <w:r>
        <w:rPr>
          <w:rFonts w:hint="eastAsia" w:ascii="宋体" w:hAnsi="宋体" w:cs="Arial"/>
          <w:kern w:val="0"/>
          <w:szCs w:val="21"/>
        </w:rPr>
        <w:t>）法律法规要求；</w:t>
      </w:r>
    </w:p>
    <w:p w14:paraId="6FDEE34F">
      <w:pPr>
        <w:widowControl/>
        <w:spacing w:line="360" w:lineRule="auto"/>
        <w:ind w:firstLine="525" w:firstLineChars="250"/>
        <w:jc w:val="left"/>
        <w:rPr>
          <w:rFonts w:ascii="宋体" w:hAnsi="宋体" w:cs="Arial"/>
          <w:kern w:val="0"/>
          <w:szCs w:val="21"/>
        </w:rPr>
      </w:pPr>
      <w:r>
        <w:rPr>
          <w:rFonts w:ascii="宋体" w:hAnsi="宋体" w:cs="Arial"/>
          <w:kern w:val="0"/>
          <w:szCs w:val="21"/>
        </w:rPr>
        <w:t>d</w:t>
      </w:r>
      <w:r>
        <w:rPr>
          <w:rFonts w:hint="eastAsia" w:ascii="宋体" w:hAnsi="宋体" w:cs="Arial"/>
          <w:kern w:val="0"/>
          <w:szCs w:val="21"/>
        </w:rPr>
        <w:t>）公司承诺实施的标准或行业规范；</w:t>
      </w:r>
    </w:p>
    <w:p w14:paraId="048A4A93">
      <w:pPr>
        <w:widowControl/>
        <w:spacing w:line="360" w:lineRule="auto"/>
        <w:ind w:firstLine="525" w:firstLineChars="250"/>
        <w:jc w:val="left"/>
        <w:rPr>
          <w:rFonts w:hint="eastAsia" w:ascii="宋体" w:hAnsi="宋体" w:cs="Arial"/>
          <w:kern w:val="0"/>
          <w:szCs w:val="21"/>
        </w:rPr>
      </w:pPr>
      <w:r>
        <w:rPr>
          <w:rFonts w:ascii="宋体" w:hAnsi="宋体" w:cs="Arial"/>
          <w:kern w:val="0"/>
          <w:szCs w:val="21"/>
        </w:rPr>
        <w:t>e</w:t>
      </w:r>
      <w:r>
        <w:rPr>
          <w:rFonts w:hint="eastAsia" w:ascii="宋体" w:hAnsi="宋体" w:cs="Arial"/>
          <w:kern w:val="0"/>
          <w:szCs w:val="21"/>
        </w:rPr>
        <w:t>）由产品和服务性质所决定的、失效的潜在后果。</w:t>
      </w:r>
    </w:p>
    <w:p w14:paraId="5952A84A">
      <w:pPr>
        <w:pStyle w:val="122"/>
        <w:widowControl w:val="0"/>
        <w:autoSpaceDE w:val="0"/>
        <w:autoSpaceDN w:val="0"/>
        <w:adjustRightInd w:val="0"/>
        <w:spacing w:before="0" w:after="0" w:line="500" w:lineRule="exact"/>
        <w:ind w:firstLine="525" w:firstLineChars="25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f</w:t>
      </w:r>
      <w:r>
        <w:rPr>
          <w:rFonts w:hint="eastAsia" w:ascii="楷体_GB2312" w:hAnsi="宋体" w:eastAsia="楷体_GB2312" w:cs="宋体"/>
          <w:sz w:val="21"/>
          <w:szCs w:val="21"/>
          <w:lang w:eastAsia="zh-CN"/>
        </w:rPr>
        <w:t>）</w:t>
      </w:r>
      <w:r>
        <w:rPr>
          <w:rFonts w:hint="eastAsia" w:ascii="楷体_GB2312" w:hAnsi="宋体" w:eastAsia="楷体_GB2312"/>
          <w:sz w:val="21"/>
          <w:szCs w:val="21"/>
          <w:lang w:eastAsia="zh-CN"/>
        </w:rPr>
        <w:t>外部的接口和数据；</w:t>
      </w:r>
    </w:p>
    <w:p w14:paraId="7C1B6CD7">
      <w:pPr>
        <w:pStyle w:val="122"/>
        <w:widowControl w:val="0"/>
        <w:autoSpaceDE w:val="0"/>
        <w:autoSpaceDN w:val="0"/>
        <w:adjustRightInd w:val="0"/>
        <w:spacing w:before="0" w:after="0" w:line="500" w:lineRule="exact"/>
        <w:ind w:firstLine="525" w:firstLineChars="25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g）生产、检验试验的工艺性要求。</w:t>
      </w:r>
    </w:p>
    <w:p w14:paraId="4AC316F5">
      <w:pPr>
        <w:widowControl/>
        <w:spacing w:line="360" w:lineRule="auto"/>
        <w:ind w:firstLine="525" w:firstLineChars="250"/>
        <w:jc w:val="left"/>
        <w:rPr>
          <w:rFonts w:hint="eastAsia" w:ascii="宋体" w:hAnsi="宋体" w:cs="Arial"/>
          <w:kern w:val="0"/>
          <w:szCs w:val="21"/>
        </w:rPr>
      </w:pPr>
      <w:r>
        <w:rPr>
          <w:rFonts w:hint="eastAsia" w:ascii="宋体" w:hAnsi="宋体" w:cs="Arial"/>
          <w:kern w:val="0"/>
          <w:szCs w:val="21"/>
        </w:rPr>
        <w:t>针对设计开发的目的，设计和开发输入应完整、清楚，研发部负责解决相互冲突的设计和开发输入。</w:t>
      </w:r>
    </w:p>
    <w:p w14:paraId="364477E8">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设计和开发输入的资料应形成相应的成文信息，并予以保留。</w:t>
      </w:r>
    </w:p>
    <w:p w14:paraId="224690F6">
      <w:pPr>
        <w:overflowPunct w:val="0"/>
        <w:spacing w:line="500" w:lineRule="exact"/>
        <w:ind w:firstLine="420" w:firstLineChars="200"/>
        <w:jc w:val="left"/>
        <w:rPr>
          <w:rFonts w:hint="eastAsia" w:ascii="楷体_GB2312" w:hAnsi="宋体" w:eastAsia="楷体_GB2312"/>
          <w:szCs w:val="21"/>
        </w:rPr>
      </w:pPr>
      <w:r>
        <w:rPr>
          <w:rFonts w:hint="eastAsia" w:ascii="楷体_GB2312" w:hAnsi="宋体" w:eastAsia="楷体_GB2312"/>
          <w:szCs w:val="21"/>
        </w:rPr>
        <w:t>研发部根据设计和开发输入的内容，对这些输入的充分性和适宜性进行评审，对其中不完整、不清楚或相互矛盾的要求作出澄清和解决。设计和开发过程中设计输入发生变化后，应及时对设计输入进行更改或补充，必要时进行设计输入更改或补充评审，评审结果和措施由研发部保留。</w:t>
      </w:r>
    </w:p>
    <w:p w14:paraId="2BFF55D6">
      <w:pPr>
        <w:pStyle w:val="4"/>
        <w:rPr>
          <w:rFonts w:hint="eastAsia"/>
        </w:rPr>
      </w:pPr>
      <w:bookmarkStart w:id="142" w:name="_Toc26832"/>
      <w:bookmarkStart w:id="143" w:name="_Toc536539699"/>
      <w:r>
        <w:rPr>
          <w:rFonts w:hint="eastAsia"/>
        </w:rPr>
        <w:t>8.3.4 设计和开发控制</w:t>
      </w:r>
      <w:bookmarkEnd w:id="142"/>
      <w:bookmarkEnd w:id="143"/>
    </w:p>
    <w:p w14:paraId="339D8549">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研发部应对设计和开发过程进行控制，以确保：</w:t>
      </w:r>
    </w:p>
    <w:p w14:paraId="50C6F917">
      <w:pPr>
        <w:widowControl/>
        <w:spacing w:line="360" w:lineRule="auto"/>
        <w:ind w:firstLine="420" w:firstLineChars="200"/>
        <w:jc w:val="left"/>
        <w:rPr>
          <w:rFonts w:ascii="宋体" w:hAnsi="宋体" w:cs="Arial"/>
          <w:kern w:val="0"/>
          <w:szCs w:val="21"/>
        </w:rPr>
      </w:pPr>
      <w:r>
        <w:rPr>
          <w:rFonts w:ascii="宋体" w:hAnsi="宋体" w:cs="Arial"/>
          <w:kern w:val="0"/>
          <w:szCs w:val="21"/>
        </w:rPr>
        <w:t>a</w:t>
      </w:r>
      <w:r>
        <w:rPr>
          <w:rFonts w:hint="eastAsia" w:ascii="宋体" w:hAnsi="宋体" w:cs="Arial"/>
          <w:kern w:val="0"/>
          <w:szCs w:val="21"/>
        </w:rPr>
        <w:t>）规定拟获得的结果；</w:t>
      </w:r>
    </w:p>
    <w:p w14:paraId="599FC14B">
      <w:pPr>
        <w:widowControl/>
        <w:spacing w:line="360" w:lineRule="auto"/>
        <w:ind w:firstLine="420" w:firstLineChars="200"/>
        <w:jc w:val="left"/>
        <w:rPr>
          <w:rFonts w:ascii="宋体" w:hAnsi="宋体" w:cs="Arial"/>
          <w:kern w:val="0"/>
          <w:szCs w:val="21"/>
        </w:rPr>
      </w:pPr>
      <w:r>
        <w:rPr>
          <w:rFonts w:ascii="宋体" w:hAnsi="宋体" w:cs="Arial"/>
          <w:kern w:val="0"/>
          <w:szCs w:val="21"/>
        </w:rPr>
        <w:t>b</w:t>
      </w:r>
      <w:r>
        <w:rPr>
          <w:rFonts w:hint="eastAsia" w:ascii="宋体" w:hAnsi="宋体" w:cs="Arial"/>
          <w:kern w:val="0"/>
          <w:szCs w:val="21"/>
        </w:rPr>
        <w:t>）实施评审活动，以评价设计和开发的结果满足要求的能力；</w:t>
      </w:r>
    </w:p>
    <w:p w14:paraId="229C6923">
      <w:pPr>
        <w:widowControl/>
        <w:spacing w:line="360" w:lineRule="auto"/>
        <w:ind w:firstLine="420" w:firstLineChars="200"/>
        <w:jc w:val="left"/>
        <w:rPr>
          <w:rFonts w:ascii="宋体" w:hAnsi="宋体" w:cs="Arial"/>
          <w:kern w:val="0"/>
          <w:szCs w:val="21"/>
        </w:rPr>
      </w:pPr>
      <w:r>
        <w:rPr>
          <w:rFonts w:ascii="宋体" w:hAnsi="宋体" w:cs="Arial"/>
          <w:kern w:val="0"/>
          <w:szCs w:val="21"/>
        </w:rPr>
        <w:t>c</w:t>
      </w:r>
      <w:r>
        <w:rPr>
          <w:rFonts w:hint="eastAsia" w:ascii="宋体" w:hAnsi="宋体" w:cs="Arial"/>
          <w:kern w:val="0"/>
          <w:szCs w:val="21"/>
        </w:rPr>
        <w:t>）实施验证活动，以确保设计和开发输出满足输入的要求；</w:t>
      </w:r>
    </w:p>
    <w:p w14:paraId="739059CA">
      <w:pPr>
        <w:widowControl/>
        <w:spacing w:line="360" w:lineRule="auto"/>
        <w:ind w:firstLine="420" w:firstLineChars="200"/>
        <w:jc w:val="left"/>
        <w:rPr>
          <w:rFonts w:ascii="宋体" w:hAnsi="宋体" w:cs="Arial"/>
          <w:kern w:val="0"/>
          <w:szCs w:val="21"/>
        </w:rPr>
      </w:pPr>
      <w:r>
        <w:rPr>
          <w:rFonts w:ascii="宋体" w:hAnsi="宋体" w:cs="Arial"/>
          <w:kern w:val="0"/>
          <w:szCs w:val="21"/>
        </w:rPr>
        <w:t>d</w:t>
      </w:r>
      <w:r>
        <w:rPr>
          <w:rFonts w:hint="eastAsia" w:ascii="宋体" w:hAnsi="宋体" w:cs="Arial"/>
          <w:kern w:val="0"/>
          <w:szCs w:val="21"/>
        </w:rPr>
        <w:t>）实施确认活动，以确保形成的产品和服务能够满足规定使用要求或预期用途要求；</w:t>
      </w:r>
    </w:p>
    <w:p w14:paraId="5E1A8090">
      <w:pPr>
        <w:widowControl/>
        <w:spacing w:line="360" w:lineRule="auto"/>
        <w:ind w:firstLine="420" w:firstLineChars="200"/>
        <w:jc w:val="left"/>
        <w:rPr>
          <w:rFonts w:ascii="宋体" w:hAnsi="宋体" w:cs="Arial"/>
          <w:kern w:val="0"/>
          <w:szCs w:val="21"/>
        </w:rPr>
      </w:pPr>
      <w:r>
        <w:rPr>
          <w:rFonts w:ascii="宋体" w:hAnsi="宋体" w:cs="Arial"/>
          <w:kern w:val="0"/>
          <w:szCs w:val="21"/>
        </w:rPr>
        <w:t>e</w:t>
      </w:r>
      <w:r>
        <w:rPr>
          <w:rFonts w:hint="eastAsia" w:ascii="宋体" w:hAnsi="宋体" w:cs="Arial"/>
          <w:kern w:val="0"/>
          <w:szCs w:val="21"/>
        </w:rPr>
        <w:t>）针对评审、验证和确认过程中确定的问题采取必要措施；</w:t>
      </w:r>
    </w:p>
    <w:p w14:paraId="29013CCD">
      <w:pPr>
        <w:widowControl/>
        <w:spacing w:line="360" w:lineRule="auto"/>
        <w:ind w:firstLine="420" w:firstLineChars="200"/>
        <w:jc w:val="left"/>
        <w:rPr>
          <w:rFonts w:hint="eastAsia" w:ascii="宋体" w:hAnsi="宋体" w:cs="Arial"/>
          <w:kern w:val="0"/>
          <w:szCs w:val="21"/>
        </w:rPr>
      </w:pPr>
      <w:r>
        <w:rPr>
          <w:rFonts w:ascii="宋体" w:hAnsi="宋体" w:cs="Arial"/>
          <w:kern w:val="0"/>
          <w:szCs w:val="21"/>
        </w:rPr>
        <w:t>f</w:t>
      </w:r>
      <w:r>
        <w:rPr>
          <w:rFonts w:hint="eastAsia" w:ascii="宋体" w:hAnsi="宋体" w:cs="Arial"/>
          <w:kern w:val="0"/>
          <w:szCs w:val="21"/>
        </w:rPr>
        <w:t>）保留这些活动的成文信息。</w:t>
      </w:r>
    </w:p>
    <w:p w14:paraId="1E19F93D">
      <w:pPr>
        <w:pStyle w:val="128"/>
        <w:widowControl w:val="0"/>
        <w:autoSpaceDE w:val="0"/>
        <w:autoSpaceDN w:val="0"/>
        <w:adjustRightInd w:val="0"/>
        <w:spacing w:before="0" w:after="0" w:line="500" w:lineRule="exact"/>
        <w:ind w:left="-105" w:leftChars="-50" w:right="-105" w:firstLine="525" w:firstLineChars="25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g</w:t>
      </w:r>
      <w:r>
        <w:rPr>
          <w:rFonts w:hint="eastAsia" w:ascii="楷体_GB2312" w:hAnsi="宋体" w:eastAsia="楷体_GB2312" w:cs="宋体"/>
          <w:sz w:val="21"/>
          <w:szCs w:val="21"/>
          <w:lang w:eastAsia="zh-CN"/>
        </w:rPr>
        <w:t>）</w:t>
      </w:r>
      <w:r>
        <w:rPr>
          <w:rFonts w:hint="eastAsia" w:ascii="楷体_GB2312" w:hAnsi="宋体" w:eastAsia="楷体_GB2312"/>
          <w:sz w:val="21"/>
          <w:szCs w:val="21"/>
          <w:lang w:eastAsia="zh-CN"/>
        </w:rPr>
        <w:t>按GJB3206《技术状态控管理》要求，控制技术状态的更改，按技术状态管理计划安排，在转阶段前由研发部实施技术状态确认；</w:t>
      </w:r>
    </w:p>
    <w:p w14:paraId="4FEFBE9D">
      <w:pPr>
        <w:pStyle w:val="128"/>
        <w:widowControl w:val="0"/>
        <w:autoSpaceDE w:val="0"/>
        <w:autoSpaceDN w:val="0"/>
        <w:adjustRightInd w:val="0"/>
        <w:spacing w:before="0" w:after="0" w:line="500" w:lineRule="exact"/>
        <w:ind w:right="-105" w:firstLine="525" w:firstLineChars="25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h）按设计开发计划安排，开展通用质量特性和计算机软件的评审、验证和确认活动；</w:t>
      </w:r>
    </w:p>
    <w:p w14:paraId="61B427DE">
      <w:pPr>
        <w:pStyle w:val="128"/>
        <w:widowControl w:val="0"/>
        <w:autoSpaceDE w:val="0"/>
        <w:autoSpaceDN w:val="0"/>
        <w:adjustRightInd w:val="0"/>
        <w:spacing w:before="0" w:after="0" w:line="500" w:lineRule="exact"/>
        <w:ind w:left="-105" w:leftChars="-50" w:right="-105" w:firstLine="630" w:firstLineChars="30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i）转阶段评审前达到规定要求，并根据风险管理计划安排，提出转阶段风险评估报告。</w:t>
      </w:r>
    </w:p>
    <w:p w14:paraId="38F7DB2B">
      <w:pPr>
        <w:pStyle w:val="128"/>
        <w:widowControl w:val="0"/>
        <w:autoSpaceDE w:val="0"/>
        <w:autoSpaceDN w:val="0"/>
        <w:adjustRightInd w:val="0"/>
        <w:spacing w:before="0" w:after="0" w:line="500" w:lineRule="exact"/>
        <w:ind w:left="-105" w:leftChars="-50" w:right="-105" w:firstLine="630" w:firstLineChars="30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研发部负责邀请顾客参加设计和开发确认，对评审、验证和确认提出的问题采取措施进行跟踪。顾客要求时，邀请顾客参加设计和开发评审、验证，并将结论及采取措施的结果向顾客通报。</w:t>
      </w:r>
    </w:p>
    <w:p w14:paraId="41D9CA6B">
      <w:pPr>
        <w:pStyle w:val="128"/>
        <w:widowControl w:val="0"/>
        <w:autoSpaceDE w:val="0"/>
        <w:autoSpaceDN w:val="0"/>
        <w:adjustRightInd w:val="0"/>
        <w:spacing w:before="0" w:after="0" w:line="500" w:lineRule="exact"/>
        <w:ind w:left="-105" w:leftChars="-50" w:right="-105" w:firstLine="630" w:firstLineChars="300"/>
        <w:jc w:val="left"/>
        <w:rPr>
          <w:rFonts w:hint="eastAsia" w:ascii="楷体_GB2312" w:hAnsi="宋体" w:eastAsia="楷体_GB2312" w:cs="宋体"/>
          <w:sz w:val="21"/>
          <w:szCs w:val="21"/>
          <w:lang w:eastAsia="zh-CN"/>
        </w:rPr>
      </w:pPr>
      <w:r>
        <w:rPr>
          <w:rFonts w:hint="eastAsia" w:ascii="楷体_GB2312" w:hAnsi="宋体" w:eastAsia="楷体_GB2312"/>
          <w:sz w:val="21"/>
          <w:szCs w:val="21"/>
          <w:lang w:eastAsia="zh-CN"/>
        </w:rPr>
        <w:t>需定型（鉴定）的产品，由研发部负责按有关规定及GJB 1362《军工产品定型程序和要求》完成定型（鉴定）准备工作</w:t>
      </w:r>
      <w:r>
        <w:rPr>
          <w:rFonts w:hint="eastAsia" w:ascii="楷体_GB2312" w:hAnsi="宋体" w:eastAsia="楷体_GB2312" w:cs="宋体"/>
          <w:sz w:val="21"/>
          <w:szCs w:val="21"/>
          <w:lang w:eastAsia="zh-CN"/>
        </w:rPr>
        <w:t>。</w:t>
      </w:r>
    </w:p>
    <w:p w14:paraId="15015175">
      <w:pPr>
        <w:pStyle w:val="128"/>
        <w:widowControl w:val="0"/>
        <w:autoSpaceDE w:val="0"/>
        <w:autoSpaceDN w:val="0"/>
        <w:adjustRightInd w:val="0"/>
        <w:spacing w:before="0" w:after="0" w:line="500" w:lineRule="exact"/>
        <w:ind w:left="-105" w:leftChars="-50" w:right="-105" w:firstLine="630" w:firstLineChars="300"/>
        <w:jc w:val="left"/>
        <w:rPr>
          <w:rFonts w:hint="eastAsia" w:ascii="宋体" w:hAnsi="宋体" w:eastAsia="宋体" w:cs="RSQWTQ+ËÎÌå"/>
          <w:sz w:val="21"/>
          <w:szCs w:val="21"/>
          <w:lang w:eastAsia="zh-CN"/>
        </w:rPr>
      </w:pPr>
      <w:r>
        <w:rPr>
          <w:rFonts w:ascii="宋体" w:hAnsi="宋体" w:eastAsia="宋体" w:cs="RSQWTQ+ËÎÌå"/>
          <w:sz w:val="21"/>
          <w:szCs w:val="21"/>
          <w:lang w:eastAsia="zh-CN"/>
        </w:rPr>
        <w:t>设计和开发的评审、验证和确认具有不同目的。</w:t>
      </w:r>
      <w:r>
        <w:rPr>
          <w:rFonts w:hint="eastAsia" w:ascii="宋体" w:hAnsi="宋体" w:eastAsia="宋体" w:cs="RSQWTQ+ËÎÌå"/>
          <w:sz w:val="21"/>
          <w:szCs w:val="21"/>
          <w:lang w:eastAsia="zh-CN"/>
        </w:rPr>
        <w:t>研发部负责</w:t>
      </w:r>
      <w:r>
        <w:rPr>
          <w:rFonts w:ascii="宋体" w:hAnsi="宋体" w:eastAsia="宋体" w:cs="RSQWTQ+ËÎÌå"/>
          <w:sz w:val="21"/>
          <w:szCs w:val="21"/>
          <w:lang w:eastAsia="zh-CN"/>
        </w:rPr>
        <w:t>根据产品和服务的具体情况，</w:t>
      </w:r>
      <w:r>
        <w:rPr>
          <w:rFonts w:hint="eastAsia" w:ascii="宋体" w:hAnsi="宋体" w:eastAsia="宋体" w:cs="RSQWTQ+ËÎÌå"/>
          <w:sz w:val="21"/>
          <w:szCs w:val="21"/>
          <w:lang w:eastAsia="zh-CN"/>
        </w:rPr>
        <w:t>确定采用</w:t>
      </w:r>
      <w:r>
        <w:rPr>
          <w:rFonts w:ascii="宋体" w:hAnsi="宋体" w:eastAsia="宋体" w:cs="RSQWTQ+ËÎÌå"/>
          <w:sz w:val="21"/>
          <w:szCs w:val="21"/>
          <w:lang w:eastAsia="zh-CN"/>
        </w:rPr>
        <w:t>单独或以任意组合</w:t>
      </w:r>
      <w:r>
        <w:rPr>
          <w:rFonts w:hint="eastAsia" w:ascii="宋体" w:hAnsi="宋体" w:eastAsia="宋体" w:cs="RSQWTQ+ËÎÌå"/>
          <w:sz w:val="21"/>
          <w:szCs w:val="21"/>
          <w:lang w:eastAsia="zh-CN"/>
        </w:rPr>
        <w:t>方式</w:t>
      </w:r>
      <w:r>
        <w:rPr>
          <w:rFonts w:ascii="宋体" w:hAnsi="宋体" w:eastAsia="宋体" w:cs="RSQWTQ+ËÎÌå"/>
          <w:sz w:val="21"/>
          <w:szCs w:val="21"/>
          <w:lang w:eastAsia="zh-CN"/>
        </w:rPr>
        <w:t>进行。</w:t>
      </w:r>
    </w:p>
    <w:p w14:paraId="3A3F0FB0">
      <w:pPr>
        <w:pStyle w:val="128"/>
        <w:widowControl w:val="0"/>
        <w:autoSpaceDE w:val="0"/>
        <w:autoSpaceDN w:val="0"/>
        <w:adjustRightInd w:val="0"/>
        <w:spacing w:before="0" w:after="0" w:line="500" w:lineRule="exact"/>
        <w:ind w:left="-105" w:leftChars="-50" w:right="-105" w:firstLine="630" w:firstLineChars="300"/>
        <w:jc w:val="left"/>
        <w:rPr>
          <w:rFonts w:hint="eastAsia" w:ascii="楷体_GB2312" w:hAnsi="宋体" w:eastAsia="楷体_GB2312" w:cs="LAMHAG+¿¬Ìå_GB2312"/>
          <w:sz w:val="21"/>
          <w:szCs w:val="21"/>
          <w:lang w:eastAsia="zh-CN"/>
        </w:rPr>
      </w:pPr>
      <w:r>
        <w:rPr>
          <w:rFonts w:hint="eastAsia" w:ascii="楷体_GB2312" w:hAnsi="宋体" w:eastAsia="楷体_GB2312" w:cs="LAMHAG+¿¬Ìå_GB2312"/>
          <w:sz w:val="21"/>
          <w:szCs w:val="21"/>
          <w:lang w:eastAsia="zh-CN"/>
        </w:rPr>
        <w:t>计算机软件的验证和确认，包括软件过程的分析、评价、评审、审查、评估和测试等，确保满足预期用途和用户需要</w:t>
      </w:r>
      <w:r>
        <w:rPr>
          <w:rFonts w:hint="eastAsia" w:ascii="楷体_GB2312" w:hAnsi="宋体" w:eastAsia="楷体_GB2312" w:cs="宋体"/>
          <w:sz w:val="21"/>
          <w:szCs w:val="21"/>
          <w:lang w:eastAsia="zh-CN"/>
        </w:rPr>
        <w:t>。</w:t>
      </w:r>
    </w:p>
    <w:p w14:paraId="5F278706">
      <w:pPr>
        <w:pStyle w:val="4"/>
        <w:rPr>
          <w:rFonts w:hint="eastAsia"/>
        </w:rPr>
      </w:pPr>
      <w:bookmarkStart w:id="144" w:name="_Toc536539700"/>
      <w:bookmarkStart w:id="145" w:name="_Toc15662"/>
      <w:r>
        <w:rPr>
          <w:rFonts w:hint="eastAsia"/>
        </w:rPr>
        <w:t>8.3.5  设计和开发输出</w:t>
      </w:r>
      <w:bookmarkEnd w:id="144"/>
      <w:bookmarkEnd w:id="145"/>
    </w:p>
    <w:p w14:paraId="679274A4">
      <w:pPr>
        <w:autoSpaceDE w:val="0"/>
        <w:autoSpaceDN w:val="0"/>
        <w:adjustRightInd w:val="0"/>
        <w:jc w:val="left"/>
        <w:rPr>
          <w:rFonts w:ascii="宋体" w:cs="宋体"/>
          <w:kern w:val="0"/>
          <w:sz w:val="22"/>
        </w:rPr>
      </w:pPr>
      <w:r>
        <w:rPr>
          <w:rFonts w:hint="eastAsia" w:ascii="宋体" w:hAnsi="宋体" w:cs="Arial"/>
          <w:kern w:val="0"/>
          <w:szCs w:val="21"/>
        </w:rPr>
        <w:t xml:space="preserve">    研发部应确保设计和开发输出：</w:t>
      </w:r>
    </w:p>
    <w:p w14:paraId="0D5BEC20">
      <w:pPr>
        <w:widowControl/>
        <w:spacing w:line="360" w:lineRule="auto"/>
        <w:ind w:firstLine="420" w:firstLineChars="200"/>
        <w:jc w:val="left"/>
        <w:rPr>
          <w:rFonts w:ascii="宋体" w:hAnsi="宋体" w:cs="Arial"/>
          <w:kern w:val="0"/>
          <w:szCs w:val="21"/>
        </w:rPr>
      </w:pPr>
      <w:r>
        <w:rPr>
          <w:rFonts w:ascii="宋体" w:hAnsi="宋体" w:cs="Arial"/>
          <w:kern w:val="0"/>
          <w:szCs w:val="21"/>
        </w:rPr>
        <w:t>a</w:t>
      </w:r>
      <w:r>
        <w:rPr>
          <w:rFonts w:hint="eastAsia" w:ascii="宋体" w:hAnsi="宋体" w:cs="Arial"/>
          <w:kern w:val="0"/>
          <w:szCs w:val="21"/>
        </w:rPr>
        <w:t>）满足输入的要求；</w:t>
      </w:r>
    </w:p>
    <w:p w14:paraId="31892775">
      <w:pPr>
        <w:widowControl/>
        <w:spacing w:line="360" w:lineRule="auto"/>
        <w:ind w:firstLine="420" w:firstLineChars="200"/>
        <w:jc w:val="left"/>
        <w:rPr>
          <w:rFonts w:ascii="宋体" w:hAnsi="宋体" w:cs="Arial"/>
          <w:kern w:val="0"/>
          <w:szCs w:val="21"/>
        </w:rPr>
      </w:pPr>
      <w:r>
        <w:rPr>
          <w:rFonts w:ascii="宋体" w:hAnsi="宋体" w:cs="Arial"/>
          <w:kern w:val="0"/>
          <w:szCs w:val="21"/>
        </w:rPr>
        <w:t>b</w:t>
      </w:r>
      <w:r>
        <w:rPr>
          <w:rFonts w:hint="eastAsia" w:ascii="宋体" w:hAnsi="宋体" w:cs="Arial"/>
          <w:kern w:val="0"/>
          <w:szCs w:val="21"/>
        </w:rPr>
        <w:t>）对于后续的产品和服务的提供过程是充分的；</w:t>
      </w:r>
    </w:p>
    <w:p w14:paraId="3F1F0A3E">
      <w:pPr>
        <w:widowControl/>
        <w:spacing w:line="360" w:lineRule="auto"/>
        <w:ind w:firstLine="420" w:firstLineChars="200"/>
        <w:jc w:val="left"/>
        <w:rPr>
          <w:rFonts w:ascii="宋体" w:hAnsi="宋体" w:cs="Arial"/>
          <w:kern w:val="0"/>
          <w:szCs w:val="21"/>
        </w:rPr>
      </w:pPr>
      <w:r>
        <w:rPr>
          <w:rFonts w:ascii="宋体" w:hAnsi="宋体" w:cs="Arial"/>
          <w:kern w:val="0"/>
          <w:szCs w:val="21"/>
        </w:rPr>
        <w:t>c</w:t>
      </w:r>
      <w:r>
        <w:rPr>
          <w:rFonts w:hint="eastAsia" w:ascii="宋体" w:hAnsi="宋体" w:cs="Arial"/>
          <w:kern w:val="0"/>
          <w:szCs w:val="21"/>
        </w:rPr>
        <w:t>）包括或引用监视和测量的要求，适当时，包括接收准则；</w:t>
      </w:r>
    </w:p>
    <w:p w14:paraId="3B2258DB">
      <w:pPr>
        <w:widowControl/>
        <w:spacing w:line="360" w:lineRule="auto"/>
        <w:ind w:firstLine="420" w:firstLineChars="200"/>
        <w:jc w:val="left"/>
        <w:rPr>
          <w:rFonts w:hint="eastAsia" w:ascii="宋体" w:hAnsi="宋体" w:cs="Arial"/>
          <w:kern w:val="0"/>
          <w:szCs w:val="21"/>
        </w:rPr>
      </w:pPr>
      <w:r>
        <w:rPr>
          <w:rFonts w:ascii="宋体" w:hAnsi="宋体" w:cs="Arial"/>
          <w:kern w:val="0"/>
          <w:szCs w:val="21"/>
        </w:rPr>
        <w:t>d</w:t>
      </w:r>
      <w:r>
        <w:rPr>
          <w:rFonts w:hint="eastAsia" w:ascii="宋体" w:hAnsi="宋体" w:cs="Arial"/>
          <w:kern w:val="0"/>
          <w:szCs w:val="21"/>
        </w:rPr>
        <w:t>）规定对于预期目的、安全和正确提供的产品和服务的基本特性。</w:t>
      </w:r>
    </w:p>
    <w:p w14:paraId="543E1DCE">
      <w:pPr>
        <w:pStyle w:val="128"/>
        <w:widowControl w:val="0"/>
        <w:autoSpaceDE w:val="0"/>
        <w:autoSpaceDN w:val="0"/>
        <w:adjustRightInd w:val="0"/>
        <w:spacing w:before="0" w:after="0" w:line="500" w:lineRule="exact"/>
        <w:ind w:right="-105" w:firstLine="424" w:firstLineChars="202"/>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e</w:t>
      </w:r>
      <w:r>
        <w:rPr>
          <w:rFonts w:hint="eastAsia" w:ascii="楷体_GB2312" w:hAnsi="宋体" w:eastAsia="楷体_GB2312" w:cs="宋体"/>
          <w:sz w:val="21"/>
          <w:szCs w:val="21"/>
          <w:lang w:eastAsia="zh-CN"/>
        </w:rPr>
        <w:t>）</w:t>
      </w:r>
      <w:r>
        <w:rPr>
          <w:rFonts w:hint="eastAsia" w:ascii="楷体_GB2312" w:hAnsi="宋体" w:eastAsia="楷体_GB2312"/>
          <w:sz w:val="21"/>
          <w:szCs w:val="21"/>
          <w:lang w:eastAsia="zh-CN"/>
        </w:rPr>
        <w:t>按照GJB 909《关键件和重要件的质量控制》要求，制定关键件(特性）、重要件(特性）项目明细表，并在产品和服务设计文件和工艺文件上进行相应标识；</w:t>
      </w:r>
    </w:p>
    <w:p w14:paraId="3C96686E">
      <w:pPr>
        <w:pStyle w:val="128"/>
        <w:widowControl w:val="0"/>
        <w:autoSpaceDE w:val="0"/>
        <w:autoSpaceDN w:val="0"/>
        <w:adjustRightInd w:val="0"/>
        <w:spacing w:before="0" w:after="0" w:line="500" w:lineRule="exact"/>
        <w:ind w:right="-105" w:firstLine="424" w:firstLineChars="202"/>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f）规定产品使用所必需的保障方案和保障资源要求；</w:t>
      </w:r>
    </w:p>
    <w:p w14:paraId="7A64CC9A">
      <w:pPr>
        <w:pStyle w:val="128"/>
        <w:widowControl w:val="0"/>
        <w:autoSpaceDE w:val="0"/>
        <w:autoSpaceDN w:val="0"/>
        <w:adjustRightInd w:val="0"/>
        <w:spacing w:before="0" w:after="0" w:line="500" w:lineRule="exact"/>
        <w:ind w:right="-105" w:firstLine="424" w:firstLineChars="202"/>
        <w:jc w:val="left"/>
        <w:rPr>
          <w:rFonts w:hint="eastAsia" w:ascii="楷体_GB2312" w:hAnsi="宋体" w:eastAsia="楷体_GB2312"/>
          <w:sz w:val="21"/>
          <w:szCs w:val="21"/>
          <w:lang w:val="en-US" w:eastAsia="zh-CN"/>
        </w:rPr>
      </w:pPr>
      <w:r>
        <w:rPr>
          <w:rFonts w:hint="eastAsia" w:ascii="楷体_GB2312" w:hAnsi="宋体" w:eastAsia="楷体_GB2312"/>
          <w:sz w:val="21"/>
          <w:szCs w:val="21"/>
          <w:lang w:eastAsia="zh-CN"/>
        </w:rPr>
        <w:t>g）包括产品规范、图样、工艺总方案、工艺图、工艺规程、原材料辅料明细表、诊断指南、操作规程、检验规程、计算报告、产品和服务安全使用培训教程、使用维护说明书以及根据顾客要求按照GJB 6600制作的交互式电子技术手册等，具体按设计开发策划的要求实施；</w:t>
      </w:r>
    </w:p>
    <w:p w14:paraId="31782B94">
      <w:pPr>
        <w:pStyle w:val="128"/>
        <w:widowControl w:val="0"/>
        <w:autoSpaceDE w:val="0"/>
        <w:autoSpaceDN w:val="0"/>
        <w:adjustRightInd w:val="0"/>
        <w:spacing w:before="0" w:after="0" w:line="500" w:lineRule="exact"/>
        <w:ind w:right="-105" w:firstLine="424" w:firstLineChars="202"/>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h）包括通用质量特性设计报告</w:t>
      </w:r>
      <w:r>
        <w:rPr>
          <w:rFonts w:hint="eastAsia" w:ascii="楷体_GB2312" w:hAnsi="宋体" w:eastAsia="楷体_GB2312" w:cs="宋体"/>
          <w:sz w:val="21"/>
          <w:szCs w:val="21"/>
          <w:lang w:eastAsia="zh-CN"/>
        </w:rPr>
        <w:t>；</w:t>
      </w:r>
    </w:p>
    <w:p w14:paraId="11A360C7">
      <w:pPr>
        <w:pStyle w:val="166"/>
        <w:widowControl w:val="0"/>
        <w:autoSpaceDE w:val="0"/>
        <w:autoSpaceDN w:val="0"/>
        <w:adjustRightInd w:val="0"/>
        <w:spacing w:before="0" w:after="0" w:line="500" w:lineRule="exact"/>
        <w:ind w:right="-105" w:firstLine="424" w:firstLineChars="202"/>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i</w:t>
      </w:r>
      <w:r>
        <w:rPr>
          <w:rFonts w:hint="eastAsia" w:ascii="楷体_GB2312" w:hAnsi="宋体" w:eastAsia="楷体_GB2312" w:cs="宋体"/>
          <w:sz w:val="21"/>
          <w:szCs w:val="21"/>
          <w:lang w:eastAsia="zh-CN"/>
        </w:rPr>
        <w:t>）</w:t>
      </w:r>
      <w:r>
        <w:rPr>
          <w:rFonts w:hint="eastAsia" w:ascii="楷体_GB2312" w:hAnsi="宋体" w:eastAsia="楷体_GB2312"/>
          <w:sz w:val="21"/>
          <w:szCs w:val="21"/>
          <w:lang w:eastAsia="zh-CN"/>
        </w:rPr>
        <w:t>风险评估报告及风险控制措施。</w:t>
      </w:r>
    </w:p>
    <w:p w14:paraId="0D12CA24">
      <w:pPr>
        <w:pStyle w:val="166"/>
        <w:widowControl w:val="0"/>
        <w:autoSpaceDE w:val="0"/>
        <w:autoSpaceDN w:val="0"/>
        <w:adjustRightInd w:val="0"/>
        <w:spacing w:before="0" w:after="0" w:line="500" w:lineRule="exact"/>
        <w:ind w:right="-105" w:firstLine="424" w:firstLineChars="202"/>
        <w:jc w:val="left"/>
        <w:rPr>
          <w:rFonts w:hint="eastAsia" w:ascii="宋体" w:hAnsi="宋体" w:eastAsia="宋体"/>
          <w:sz w:val="21"/>
          <w:szCs w:val="21"/>
          <w:lang w:eastAsia="zh-CN"/>
        </w:rPr>
      </w:pPr>
      <w:bookmarkStart w:id="146" w:name="OLE_LINK3"/>
      <w:bookmarkStart w:id="147" w:name="OLE_LINK4"/>
      <w:r>
        <w:rPr>
          <w:rFonts w:hint="eastAsia" w:ascii="宋体" w:hAnsi="宋体" w:eastAsia="宋体" w:cs="宋体"/>
          <w:sz w:val="21"/>
          <w:szCs w:val="21"/>
          <w:lang w:eastAsia="zh-CN"/>
        </w:rPr>
        <w:t>设计和开发输出的成文信息由设计者签署并进行</w:t>
      </w:r>
      <w:r>
        <w:rPr>
          <w:rFonts w:hint="eastAsia" w:ascii="楷体_GB2312" w:hAnsi="宋体" w:eastAsia="楷体_GB2312"/>
          <w:sz w:val="21"/>
          <w:szCs w:val="21"/>
          <w:lang w:eastAsia="zh-CN"/>
        </w:rPr>
        <w:t>审核（校对）、批准，工艺、质量会签和标准化检查，确保设计输出文件的完整、齐套、准确、协调、统一、清晰。</w:t>
      </w:r>
    </w:p>
    <w:bookmarkEnd w:id="146"/>
    <w:bookmarkEnd w:id="147"/>
    <w:p w14:paraId="2D5EB72D">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研发部应保留设计和开发输出的成文信息。</w:t>
      </w:r>
    </w:p>
    <w:p w14:paraId="1DC99113">
      <w:pPr>
        <w:pStyle w:val="4"/>
        <w:rPr>
          <w:rFonts w:hint="eastAsia"/>
        </w:rPr>
      </w:pPr>
      <w:bookmarkStart w:id="148" w:name="_Toc536539701"/>
      <w:bookmarkStart w:id="149" w:name="_Toc24758"/>
      <w:r>
        <w:rPr>
          <w:rFonts w:hint="eastAsia"/>
        </w:rPr>
        <w:t>8.3.6 设计和开发更改</w:t>
      </w:r>
      <w:bookmarkEnd w:id="148"/>
      <w:bookmarkEnd w:id="149"/>
    </w:p>
    <w:p w14:paraId="12D9A68E">
      <w:pPr>
        <w:autoSpaceDE w:val="0"/>
        <w:autoSpaceDN w:val="0"/>
        <w:adjustRightInd w:val="0"/>
        <w:spacing w:line="360" w:lineRule="auto"/>
        <w:ind w:firstLine="420" w:firstLineChars="200"/>
        <w:jc w:val="left"/>
        <w:rPr>
          <w:rFonts w:ascii="宋体" w:cs="宋体"/>
          <w:kern w:val="0"/>
          <w:szCs w:val="21"/>
        </w:rPr>
      </w:pPr>
      <w:r>
        <w:rPr>
          <w:rFonts w:hint="eastAsia" w:ascii="宋体" w:cs="宋体"/>
          <w:kern w:val="0"/>
          <w:szCs w:val="21"/>
        </w:rPr>
        <w:t>研发部应对产品和服务设计和开发期间以及后续所做的更改进行适当的识别、评审和控制，以确保这些更改对满足要求不会产生不利影响。</w:t>
      </w:r>
    </w:p>
    <w:p w14:paraId="2D773C85">
      <w:pPr>
        <w:autoSpaceDE w:val="0"/>
        <w:autoSpaceDN w:val="0"/>
        <w:adjustRightInd w:val="0"/>
        <w:spacing w:line="360" w:lineRule="auto"/>
        <w:ind w:firstLine="420" w:firstLineChars="200"/>
        <w:jc w:val="left"/>
        <w:rPr>
          <w:rFonts w:ascii="宋体" w:cs="宋体"/>
          <w:kern w:val="0"/>
          <w:szCs w:val="21"/>
        </w:rPr>
      </w:pPr>
      <w:r>
        <w:rPr>
          <w:rFonts w:hint="eastAsia" w:ascii="宋体" w:cs="宋体"/>
          <w:kern w:val="0"/>
          <w:szCs w:val="21"/>
        </w:rPr>
        <w:t>研发部应保留下列成文信息：</w:t>
      </w:r>
      <w:r>
        <w:rPr>
          <w:rFonts w:ascii="宋体" w:cs="宋体"/>
          <w:kern w:val="0"/>
          <w:szCs w:val="21"/>
        </w:rPr>
        <w:t xml:space="preserve"> </w:t>
      </w:r>
      <w:r>
        <w:rPr>
          <w:rFonts w:hint="eastAsia" w:ascii="宋体" w:cs="宋体"/>
          <w:kern w:val="0"/>
          <w:szCs w:val="21"/>
        </w:rPr>
        <w:t xml:space="preserve"> </w:t>
      </w:r>
    </w:p>
    <w:p w14:paraId="5FDDA83A">
      <w:pPr>
        <w:autoSpaceDE w:val="0"/>
        <w:autoSpaceDN w:val="0"/>
        <w:adjustRightInd w:val="0"/>
        <w:spacing w:line="360" w:lineRule="auto"/>
        <w:ind w:firstLine="420" w:firstLineChars="200"/>
        <w:jc w:val="left"/>
        <w:rPr>
          <w:rFonts w:ascii="宋体" w:cs="宋体"/>
          <w:kern w:val="0"/>
          <w:szCs w:val="21"/>
        </w:rPr>
      </w:pPr>
      <w:r>
        <w:rPr>
          <w:rFonts w:ascii="宋体" w:cs="宋体"/>
          <w:kern w:val="0"/>
          <w:szCs w:val="21"/>
        </w:rPr>
        <w:t>a</w:t>
      </w:r>
      <w:r>
        <w:rPr>
          <w:rFonts w:hint="eastAsia" w:ascii="宋体" w:cs="宋体"/>
          <w:kern w:val="0"/>
          <w:szCs w:val="21"/>
        </w:rPr>
        <w:t>）设计和开发更改；</w:t>
      </w:r>
    </w:p>
    <w:p w14:paraId="76FEA25B">
      <w:pPr>
        <w:autoSpaceDE w:val="0"/>
        <w:autoSpaceDN w:val="0"/>
        <w:adjustRightInd w:val="0"/>
        <w:spacing w:line="360" w:lineRule="auto"/>
        <w:ind w:firstLine="420" w:firstLineChars="200"/>
        <w:jc w:val="left"/>
        <w:rPr>
          <w:rFonts w:ascii="宋体" w:cs="宋体"/>
          <w:kern w:val="0"/>
          <w:szCs w:val="21"/>
        </w:rPr>
      </w:pPr>
      <w:r>
        <w:rPr>
          <w:rFonts w:ascii="宋体" w:cs="宋体"/>
          <w:kern w:val="0"/>
          <w:szCs w:val="21"/>
        </w:rPr>
        <w:t>b</w:t>
      </w:r>
      <w:r>
        <w:rPr>
          <w:rFonts w:hint="eastAsia" w:ascii="宋体" w:cs="宋体"/>
          <w:kern w:val="0"/>
          <w:szCs w:val="21"/>
        </w:rPr>
        <w:t>）评审的结果；</w:t>
      </w:r>
    </w:p>
    <w:p w14:paraId="0707A4CC">
      <w:pPr>
        <w:autoSpaceDE w:val="0"/>
        <w:autoSpaceDN w:val="0"/>
        <w:adjustRightInd w:val="0"/>
        <w:spacing w:line="360" w:lineRule="auto"/>
        <w:ind w:firstLine="420" w:firstLineChars="200"/>
        <w:jc w:val="left"/>
        <w:rPr>
          <w:rFonts w:ascii="宋体" w:cs="宋体"/>
          <w:kern w:val="0"/>
          <w:szCs w:val="21"/>
        </w:rPr>
      </w:pPr>
      <w:r>
        <w:rPr>
          <w:rFonts w:ascii="宋体" w:cs="宋体"/>
          <w:kern w:val="0"/>
          <w:szCs w:val="21"/>
        </w:rPr>
        <w:t>c</w:t>
      </w:r>
      <w:r>
        <w:rPr>
          <w:rFonts w:hint="eastAsia" w:ascii="宋体" w:cs="宋体"/>
          <w:kern w:val="0"/>
          <w:szCs w:val="21"/>
        </w:rPr>
        <w:t>）更改的授权；</w:t>
      </w:r>
    </w:p>
    <w:p w14:paraId="62B89D96">
      <w:pPr>
        <w:autoSpaceDE w:val="0"/>
        <w:autoSpaceDN w:val="0"/>
        <w:adjustRightInd w:val="0"/>
        <w:spacing w:line="360" w:lineRule="auto"/>
        <w:ind w:firstLine="420" w:firstLineChars="200"/>
        <w:jc w:val="left"/>
        <w:rPr>
          <w:rFonts w:hint="eastAsia" w:ascii="宋体" w:cs="宋体"/>
          <w:kern w:val="0"/>
          <w:szCs w:val="21"/>
        </w:rPr>
      </w:pPr>
      <w:r>
        <w:rPr>
          <w:rFonts w:ascii="宋体" w:cs="宋体"/>
          <w:kern w:val="0"/>
          <w:szCs w:val="21"/>
        </w:rPr>
        <w:t>d</w:t>
      </w:r>
      <w:r>
        <w:rPr>
          <w:rFonts w:hint="eastAsia" w:ascii="宋体" w:cs="宋体"/>
          <w:kern w:val="0"/>
          <w:szCs w:val="21"/>
        </w:rPr>
        <w:t>）为防止不利影响而采取的措施。</w:t>
      </w:r>
    </w:p>
    <w:p w14:paraId="294CBD3E">
      <w:pPr>
        <w:pStyle w:val="166"/>
        <w:widowControl w:val="0"/>
        <w:autoSpaceDE w:val="0"/>
        <w:autoSpaceDN w:val="0"/>
        <w:adjustRightInd w:val="0"/>
        <w:spacing w:before="0" w:after="0" w:line="500" w:lineRule="exact"/>
        <w:ind w:right="-105" w:firstLine="420" w:firstLineChars="20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设计更改须符合技术状态管理要求，</w:t>
      </w:r>
      <w:r>
        <w:rPr>
          <w:rFonts w:hint="eastAsia" w:ascii="楷体_GB2312" w:hAnsi="宋体" w:eastAsia="楷体_GB2312" w:cs="宋体"/>
          <w:sz w:val="21"/>
          <w:szCs w:val="21"/>
          <w:lang w:eastAsia="zh-CN"/>
        </w:rPr>
        <w:t>研发部负责</w:t>
      </w:r>
      <w:r>
        <w:rPr>
          <w:rFonts w:hint="eastAsia" w:ascii="楷体_GB2312" w:hAnsi="宋体" w:eastAsia="楷体_GB2312"/>
          <w:sz w:val="21"/>
          <w:szCs w:val="21"/>
          <w:lang w:eastAsia="zh-CN"/>
        </w:rPr>
        <w:t>对设计更改的实施进行跟踪，</w:t>
      </w:r>
      <w:r>
        <w:rPr>
          <w:rFonts w:hint="eastAsia" w:ascii="楷体_GB2312" w:hAnsi="宋体" w:eastAsia="楷体_GB2312" w:cs="宋体"/>
          <w:sz w:val="21"/>
          <w:szCs w:val="21"/>
          <w:lang w:eastAsia="zh-CN"/>
        </w:rPr>
        <w:t>保持更改评审结果和由于更改而采取的任何必要的措施的记录。</w:t>
      </w:r>
      <w:r>
        <w:rPr>
          <w:rFonts w:hint="eastAsia" w:ascii="楷体_GB2312" w:hAnsi="宋体" w:eastAsia="楷体_GB2312"/>
          <w:sz w:val="21"/>
          <w:szCs w:val="21"/>
          <w:lang w:eastAsia="zh-CN"/>
        </w:rPr>
        <w:t>对影响产品使用性能、安全性、可靠性等重要的设计更改，由研发部组织相关部门及人员进行系统分析和验证，严格按规定履行审批程序。</w:t>
      </w:r>
    </w:p>
    <w:p w14:paraId="20E5F484">
      <w:pPr>
        <w:pStyle w:val="4"/>
        <w:rPr>
          <w:rFonts w:hint="eastAsia"/>
          <w:kern w:val="0"/>
          <w:lang w:val="ru-RU"/>
        </w:rPr>
      </w:pPr>
      <w:bookmarkStart w:id="150" w:name="_Toc536539702"/>
      <w:bookmarkStart w:id="151" w:name="_Toc15912"/>
      <w:r>
        <w:rPr>
          <w:rFonts w:hint="eastAsia"/>
          <w:kern w:val="0"/>
          <w:lang w:val="ru-RU"/>
        </w:rPr>
        <w:t>8.3.7  新产品试制</w:t>
      </w:r>
      <w:bookmarkEnd w:id="150"/>
      <w:bookmarkEnd w:id="151"/>
    </w:p>
    <w:p w14:paraId="424FFFBE">
      <w:pPr>
        <w:overflowPunct w:val="0"/>
        <w:spacing w:line="500" w:lineRule="exact"/>
        <w:ind w:firstLine="495" w:firstLineChars="236"/>
        <w:jc w:val="left"/>
        <w:rPr>
          <w:rFonts w:hint="eastAsia" w:ascii="楷体_GB2312" w:hAnsi="宋体" w:eastAsia="楷体_GB2312"/>
          <w:szCs w:val="21"/>
        </w:rPr>
      </w:pPr>
      <w:r>
        <w:rPr>
          <w:rFonts w:hint="eastAsia" w:ascii="楷体_GB2312" w:hAnsi="宋体" w:eastAsia="楷体_GB2312"/>
          <w:szCs w:val="21"/>
        </w:rPr>
        <w:t>公司制定并实施</w:t>
      </w:r>
      <w:r>
        <w:rPr>
          <w:rFonts w:hint="eastAsia" w:ascii="楷体_GB2312" w:hAnsi="宋体" w:eastAsia="楷体_GB2312"/>
          <w:szCs w:val="21"/>
          <w:highlight w:val="yellow"/>
        </w:rPr>
        <w:t>《新产品试制控制程序》</w:t>
      </w:r>
      <w:r>
        <w:rPr>
          <w:rFonts w:hint="eastAsia" w:ascii="楷体_GB2312" w:hAnsi="宋体" w:eastAsia="楷体_GB2312"/>
          <w:szCs w:val="21"/>
        </w:rPr>
        <w:t>，由研发部归口管理。在产品完成设计后，研发部编制控制文件，对新产品试制过程进行控制，控制内容包括：</w:t>
      </w:r>
    </w:p>
    <w:p w14:paraId="5C121A48">
      <w:pPr>
        <w:autoSpaceDE w:val="0"/>
        <w:autoSpaceDN w:val="0"/>
        <w:adjustRightInd w:val="0"/>
        <w:spacing w:line="500" w:lineRule="exact"/>
        <w:ind w:right="-105" w:firstLine="495" w:firstLineChars="236"/>
        <w:jc w:val="left"/>
        <w:rPr>
          <w:rFonts w:hint="eastAsia" w:ascii="楷体_GB2312" w:hAnsi="宋体" w:eastAsia="楷体_GB2312"/>
          <w:szCs w:val="21"/>
        </w:rPr>
      </w:pPr>
      <w:r>
        <w:rPr>
          <w:rFonts w:hint="eastAsia" w:ascii="楷体_GB2312" w:hAnsi="宋体" w:eastAsia="楷体_GB2312"/>
          <w:szCs w:val="21"/>
        </w:rPr>
        <w:t>a）研发部组织制造部、品质部等部门，在产品试制前进行准备状态检查，需满足 GJB1710《试制和生产准备状态检查》的规定要求；</w:t>
      </w:r>
    </w:p>
    <w:p w14:paraId="23AC8A25">
      <w:pPr>
        <w:autoSpaceDE w:val="0"/>
        <w:autoSpaceDN w:val="0"/>
        <w:adjustRightInd w:val="0"/>
        <w:spacing w:line="500" w:lineRule="exact"/>
        <w:ind w:right="-105" w:firstLine="495" w:firstLineChars="236"/>
        <w:jc w:val="left"/>
        <w:rPr>
          <w:rFonts w:hint="eastAsia" w:ascii="楷体_GB2312" w:hAnsi="宋体" w:eastAsia="楷体_GB2312"/>
          <w:kern w:val="0"/>
          <w:szCs w:val="21"/>
          <w:lang w:val="ru-RU"/>
        </w:rPr>
      </w:pPr>
      <w:r>
        <w:rPr>
          <w:rFonts w:hint="eastAsia" w:ascii="楷体_GB2312" w:hAnsi="宋体" w:eastAsia="楷体_GB2312"/>
          <w:kern w:val="0"/>
          <w:szCs w:val="21"/>
          <w:lang w:val="ru-RU"/>
        </w:rPr>
        <w:t>b）研发部在试制前编制工艺规程（可包括生产、检验试验工艺等），组织工艺评审并满足GJB1269《工艺评审》要求；</w:t>
      </w:r>
    </w:p>
    <w:p w14:paraId="2B7C605C">
      <w:pPr>
        <w:autoSpaceDE w:val="0"/>
        <w:autoSpaceDN w:val="0"/>
        <w:adjustRightInd w:val="0"/>
        <w:spacing w:line="500" w:lineRule="exact"/>
        <w:ind w:right="-105" w:firstLine="495" w:firstLineChars="236"/>
        <w:jc w:val="left"/>
        <w:rPr>
          <w:rFonts w:hint="eastAsia" w:ascii="楷体_GB2312" w:hAnsi="宋体" w:eastAsia="楷体_GB2312"/>
          <w:kern w:val="0"/>
          <w:szCs w:val="21"/>
          <w:lang w:val="ru-RU"/>
        </w:rPr>
      </w:pPr>
      <w:r>
        <w:rPr>
          <w:rFonts w:hint="eastAsia" w:ascii="楷体_GB2312" w:hAnsi="宋体" w:eastAsia="楷体_GB2312"/>
          <w:kern w:val="0"/>
          <w:szCs w:val="21"/>
          <w:lang w:val="ru-RU"/>
        </w:rPr>
        <w:t>c）研发部负责编制首件鉴定目录，由研发部组织进行首件鉴定，满足 GJB908《首件鉴定》要求；</w:t>
      </w:r>
    </w:p>
    <w:p w14:paraId="1880A289">
      <w:pPr>
        <w:autoSpaceDE w:val="0"/>
        <w:autoSpaceDN w:val="0"/>
        <w:adjustRightInd w:val="0"/>
        <w:spacing w:line="500" w:lineRule="exact"/>
        <w:ind w:right="-105" w:firstLine="495" w:firstLineChars="236"/>
        <w:jc w:val="left"/>
        <w:rPr>
          <w:rFonts w:hint="eastAsia" w:ascii="楷体_GB2312" w:hAnsi="宋体" w:eastAsia="楷体_GB2312"/>
          <w:kern w:val="0"/>
          <w:szCs w:val="21"/>
          <w:lang w:val="ru-RU"/>
        </w:rPr>
      </w:pPr>
      <w:r>
        <w:rPr>
          <w:rFonts w:hint="eastAsia" w:ascii="楷体_GB2312" w:hAnsi="宋体" w:eastAsia="楷体_GB2312"/>
          <w:kern w:val="0"/>
          <w:szCs w:val="21"/>
          <w:lang w:val="ru-RU"/>
        </w:rPr>
        <w:t>d）在产品试制完成后，由研发部组织技术、生产、质量、销售等部门代表，进行产品质量评审，满足GJB907《产品质量评审》要求。</w:t>
      </w:r>
    </w:p>
    <w:p w14:paraId="5335766A">
      <w:pPr>
        <w:autoSpaceDE w:val="0"/>
        <w:autoSpaceDN w:val="0"/>
        <w:adjustRightInd w:val="0"/>
        <w:spacing w:line="500" w:lineRule="exact"/>
        <w:ind w:right="-105" w:firstLine="495" w:firstLineChars="236"/>
        <w:jc w:val="left"/>
        <w:rPr>
          <w:rFonts w:hint="eastAsia" w:ascii="楷体_GB2312" w:hAnsi="宋体" w:eastAsia="楷体_GB2312"/>
          <w:kern w:val="0"/>
          <w:szCs w:val="21"/>
          <w:lang w:val="ru-RU"/>
        </w:rPr>
      </w:pPr>
      <w:r>
        <w:rPr>
          <w:rFonts w:hint="eastAsia" w:ascii="楷体_GB2312" w:hAnsi="宋体" w:eastAsia="楷体_GB2312"/>
          <w:kern w:val="0"/>
          <w:szCs w:val="21"/>
          <w:lang w:val="ru-RU"/>
        </w:rPr>
        <w:t>研发部负责保留试制过程和采取任何措施的记录。</w:t>
      </w:r>
    </w:p>
    <w:p w14:paraId="5DEAEA16">
      <w:pPr>
        <w:autoSpaceDE w:val="0"/>
        <w:autoSpaceDN w:val="0"/>
        <w:adjustRightInd w:val="0"/>
        <w:spacing w:line="500" w:lineRule="exact"/>
        <w:ind w:right="-105" w:firstLine="495" w:firstLineChars="236"/>
        <w:jc w:val="left"/>
        <w:rPr>
          <w:rFonts w:hint="eastAsia" w:ascii="楷体_GB2312" w:hAnsi="宋体" w:eastAsia="楷体_GB2312"/>
          <w:kern w:val="0"/>
          <w:szCs w:val="21"/>
          <w:lang w:val="ru-RU"/>
        </w:rPr>
      </w:pPr>
      <w:r>
        <w:rPr>
          <w:rFonts w:hint="eastAsia" w:ascii="楷体_GB2312" w:hAnsi="宋体" w:eastAsia="楷体_GB2312"/>
          <w:kern w:val="0"/>
          <w:szCs w:val="21"/>
          <w:lang w:val="ru-RU"/>
        </w:rPr>
        <w:t>合同要求或顾客关注时，研发部负责邀请顾客参加其关注的产品生产准备状态检查、首件鉴定和产品质量评审。</w:t>
      </w:r>
    </w:p>
    <w:p w14:paraId="6E67BC76">
      <w:pPr>
        <w:autoSpaceDE w:val="0"/>
        <w:autoSpaceDN w:val="0"/>
        <w:adjustRightInd w:val="0"/>
        <w:spacing w:line="500" w:lineRule="exact"/>
        <w:ind w:right="-105" w:firstLine="495" w:firstLineChars="236"/>
        <w:jc w:val="left"/>
        <w:rPr>
          <w:rFonts w:hint="eastAsia" w:ascii="楷体_GB2312" w:hAnsi="宋体" w:eastAsia="楷体_GB2312" w:cs="WOFHWR+¿¬Ìå_GB2312"/>
          <w:kern w:val="0"/>
          <w:szCs w:val="21"/>
          <w:lang w:val="ru-RU"/>
        </w:rPr>
      </w:pPr>
      <w:r>
        <w:rPr>
          <w:rFonts w:hint="eastAsia" w:ascii="楷体_GB2312" w:hAnsi="宋体" w:eastAsia="楷体_GB2312" w:cs="WOFHWR+¿¬Ìå_GB2312"/>
          <w:kern w:val="0"/>
          <w:szCs w:val="21"/>
          <w:lang w:val="ru-RU"/>
        </w:rPr>
        <w:t>新产品试制，可包括工程样机制造、设计定型前的小批量生产。</w:t>
      </w:r>
    </w:p>
    <w:p w14:paraId="1D9769E9">
      <w:pPr>
        <w:pStyle w:val="4"/>
        <w:rPr>
          <w:rFonts w:hint="eastAsia" w:cs="WOFHWR+¿¬Ìå_GB2312"/>
          <w:kern w:val="0"/>
          <w:lang w:val="ru-RU"/>
        </w:rPr>
      </w:pPr>
      <w:bookmarkStart w:id="152" w:name="_Toc4064"/>
      <w:bookmarkStart w:id="153" w:name="_Toc536539703"/>
      <w:r>
        <w:rPr>
          <w:rFonts w:hint="eastAsia"/>
          <w:kern w:val="0"/>
          <w:lang w:val="ru-RU"/>
        </w:rPr>
        <w:t>8.3.8  设计和开发的试验控制</w:t>
      </w:r>
      <w:bookmarkEnd w:id="152"/>
      <w:bookmarkEnd w:id="153"/>
    </w:p>
    <w:p w14:paraId="002E73F7">
      <w:pPr>
        <w:autoSpaceDE w:val="0"/>
        <w:autoSpaceDN w:val="0"/>
        <w:adjustRightInd w:val="0"/>
        <w:spacing w:line="500" w:lineRule="exact"/>
        <w:ind w:right="-105" w:firstLine="493" w:firstLineChars="235"/>
        <w:jc w:val="left"/>
        <w:rPr>
          <w:rFonts w:hint="eastAsia" w:ascii="楷体_GB2312" w:hAnsi="宋体" w:eastAsia="楷体_GB2312"/>
          <w:kern w:val="0"/>
          <w:szCs w:val="21"/>
          <w:lang w:val="ru-RU"/>
        </w:rPr>
      </w:pPr>
      <w:r>
        <w:rPr>
          <w:rFonts w:hint="eastAsia" w:ascii="楷体_GB2312" w:hAnsi="宋体" w:eastAsia="楷体_GB2312"/>
          <w:kern w:val="0"/>
          <w:szCs w:val="21"/>
          <w:lang w:val="ru-RU"/>
        </w:rPr>
        <w:t>品质部负责按产品标准、规范或试验大纲的要求对试验过程（如产品型式试验、鉴定试验、出厂试验）的实施与控制，确保试验结果的有效性。并明确：</w:t>
      </w:r>
    </w:p>
    <w:p w14:paraId="5783ECDC">
      <w:pPr>
        <w:autoSpaceDE w:val="0"/>
        <w:autoSpaceDN w:val="0"/>
        <w:adjustRightInd w:val="0"/>
        <w:spacing w:line="500" w:lineRule="exact"/>
        <w:ind w:firstLine="493" w:firstLineChars="235"/>
        <w:rPr>
          <w:rFonts w:hint="eastAsia" w:ascii="楷体_GB2312" w:hAnsi="宋体" w:eastAsia="楷体_GB2312" w:cs="楷体_GB2312"/>
          <w:spacing w:val="2"/>
          <w:kern w:val="0"/>
          <w:szCs w:val="21"/>
        </w:rPr>
      </w:pPr>
      <w:r>
        <w:rPr>
          <w:rFonts w:hint="eastAsia" w:ascii="楷体_GB2312" w:hAnsi="宋体" w:eastAsia="楷体_GB2312" w:cs="黑体"/>
          <w:kern w:val="0"/>
          <w:szCs w:val="21"/>
        </w:rPr>
        <w:t>a）由研发部负责编制并评审、品质部会签试验大纲或试验计划，包括试验目的、内容、条件、方法、程序、职责、</w:t>
      </w:r>
      <w:r>
        <w:rPr>
          <w:rFonts w:hint="eastAsia" w:ascii="楷体_GB2312" w:hAnsi="宋体" w:eastAsia="楷体_GB2312" w:cs="楷体_GB2312"/>
          <w:spacing w:val="2"/>
          <w:kern w:val="0"/>
          <w:szCs w:val="21"/>
        </w:rPr>
        <w:t>受试产品技术状态、质量要求、结果评定准则等。对顾客关注的试验，其试验大纲或试验计划应经顾客同意；</w:t>
      </w:r>
    </w:p>
    <w:p w14:paraId="02152926">
      <w:pPr>
        <w:autoSpaceDE w:val="0"/>
        <w:autoSpaceDN w:val="0"/>
        <w:adjustRightInd w:val="0"/>
        <w:spacing w:line="500" w:lineRule="exact"/>
        <w:ind w:firstLine="493" w:firstLineChars="235"/>
        <w:rPr>
          <w:rFonts w:hint="eastAsia" w:ascii="楷体_GB2312" w:hAnsi="宋体" w:eastAsia="楷体_GB2312" w:cs="黑体"/>
          <w:kern w:val="0"/>
          <w:szCs w:val="21"/>
        </w:rPr>
      </w:pPr>
      <w:r>
        <w:rPr>
          <w:rFonts w:hint="eastAsia" w:ascii="楷体_GB2312" w:hAnsi="宋体" w:eastAsia="楷体_GB2312" w:cs="黑体"/>
          <w:kern w:val="0"/>
          <w:szCs w:val="21"/>
        </w:rPr>
        <w:t>b）做好试验前的准备，由品质部组织并实施准备状态检查；</w:t>
      </w:r>
    </w:p>
    <w:p w14:paraId="79892209">
      <w:pPr>
        <w:autoSpaceDE w:val="0"/>
        <w:autoSpaceDN w:val="0"/>
        <w:adjustRightInd w:val="0"/>
        <w:spacing w:line="500" w:lineRule="exact"/>
        <w:ind w:firstLine="493" w:firstLineChars="235"/>
        <w:rPr>
          <w:rFonts w:hint="eastAsia" w:ascii="楷体_GB2312" w:hAnsi="宋体" w:eastAsia="楷体_GB2312" w:cs="黑体"/>
          <w:kern w:val="0"/>
          <w:szCs w:val="21"/>
        </w:rPr>
      </w:pPr>
      <w:r>
        <w:rPr>
          <w:rFonts w:hint="eastAsia" w:ascii="楷体_GB2312" w:hAnsi="宋体" w:eastAsia="楷体_GB2312" w:cs="黑体"/>
          <w:kern w:val="0"/>
          <w:szCs w:val="21"/>
        </w:rPr>
        <w:t>c）品质部负责按照试验大纲或试验计划组织试验；</w:t>
      </w:r>
    </w:p>
    <w:p w14:paraId="7549523F">
      <w:pPr>
        <w:autoSpaceDE w:val="0"/>
        <w:autoSpaceDN w:val="0"/>
        <w:adjustRightInd w:val="0"/>
        <w:spacing w:line="500" w:lineRule="exact"/>
        <w:ind w:firstLine="493" w:firstLineChars="235"/>
        <w:rPr>
          <w:rFonts w:hint="eastAsia" w:ascii="楷体_GB2312" w:hAnsi="宋体" w:eastAsia="楷体_GB2312" w:cs="黑体"/>
          <w:kern w:val="0"/>
          <w:szCs w:val="21"/>
        </w:rPr>
      </w:pPr>
      <w:r>
        <w:rPr>
          <w:rFonts w:hint="eastAsia" w:ascii="楷体_GB2312" w:hAnsi="宋体" w:eastAsia="楷体_GB2312" w:cs="黑体"/>
          <w:kern w:val="0"/>
          <w:szCs w:val="21"/>
        </w:rPr>
        <w:t>d</w:t>
      </w:r>
      <w:r>
        <w:rPr>
          <w:rFonts w:hint="eastAsia" w:ascii="楷体_GB2312" w:hAnsi="宋体" w:eastAsia="楷体_GB2312" w:cs="宋体"/>
          <w:kern w:val="0"/>
          <w:szCs w:val="21"/>
        </w:rPr>
        <w:t>）</w:t>
      </w:r>
      <w:r>
        <w:rPr>
          <w:rFonts w:hint="eastAsia" w:ascii="楷体_GB2312" w:hAnsi="宋体" w:eastAsia="楷体_GB2312" w:cs="黑体"/>
          <w:kern w:val="0"/>
          <w:szCs w:val="21"/>
        </w:rPr>
        <w:t>品质部负责按规定的程序</w:t>
      </w:r>
      <w:r>
        <w:rPr>
          <w:rFonts w:hint="eastAsia" w:ascii="楷体_GB2312" w:hAnsi="宋体" w:eastAsia="楷体_GB2312" w:cs="楷体_GB2312"/>
          <w:spacing w:val="2"/>
          <w:kern w:val="0"/>
          <w:szCs w:val="21"/>
        </w:rPr>
        <w:t>和试验鉴定有关要求</w:t>
      </w:r>
      <w:r>
        <w:rPr>
          <w:rFonts w:hint="eastAsia" w:ascii="楷体_GB2312" w:hAnsi="宋体" w:eastAsia="楷体_GB2312" w:cs="黑体"/>
          <w:kern w:val="0"/>
          <w:szCs w:val="21"/>
        </w:rPr>
        <w:t>收集、整理数据和原始信息，分析、评价试验结果，保证试验数据的完整性和准确性；</w:t>
      </w:r>
    </w:p>
    <w:p w14:paraId="7CA2A728">
      <w:pPr>
        <w:autoSpaceDE w:val="0"/>
        <w:autoSpaceDN w:val="0"/>
        <w:adjustRightInd w:val="0"/>
        <w:spacing w:line="500" w:lineRule="exact"/>
        <w:ind w:firstLine="493" w:firstLineChars="235"/>
        <w:rPr>
          <w:rFonts w:hint="eastAsia" w:ascii="楷体_GB2312" w:hAnsi="宋体" w:eastAsia="楷体_GB2312" w:cs="黑体"/>
          <w:kern w:val="0"/>
          <w:szCs w:val="21"/>
        </w:rPr>
      </w:pPr>
      <w:r>
        <w:rPr>
          <w:rFonts w:hint="eastAsia" w:ascii="楷体_GB2312" w:hAnsi="宋体" w:eastAsia="楷体_GB2312" w:cs="黑体"/>
          <w:kern w:val="0"/>
          <w:szCs w:val="21"/>
        </w:rPr>
        <w:t>e）对试验发现的故障和缺陷，由研发部牵头，采取有效的纠正措施，并再次进行试验或验证；</w:t>
      </w:r>
    </w:p>
    <w:p w14:paraId="2CC903D6">
      <w:pPr>
        <w:autoSpaceDE w:val="0"/>
        <w:autoSpaceDN w:val="0"/>
        <w:adjustRightInd w:val="0"/>
        <w:spacing w:line="500" w:lineRule="exact"/>
        <w:ind w:firstLine="493" w:firstLineChars="235"/>
        <w:rPr>
          <w:rFonts w:hint="eastAsia" w:ascii="楷体_GB2312" w:hAnsi="宋体" w:eastAsia="楷体_GB2312" w:cs="黑体"/>
          <w:kern w:val="0"/>
          <w:szCs w:val="21"/>
        </w:rPr>
      </w:pPr>
      <w:r>
        <w:rPr>
          <w:rFonts w:hint="eastAsia" w:ascii="楷体_GB2312" w:hAnsi="宋体" w:eastAsia="楷体_GB2312" w:cs="黑体"/>
          <w:kern w:val="0"/>
          <w:szCs w:val="21"/>
        </w:rPr>
        <w:t>f）品质部负责保留试验过程、结果及任何必要措施的记录；</w:t>
      </w:r>
    </w:p>
    <w:p w14:paraId="3BF0E6EB">
      <w:pPr>
        <w:autoSpaceDE w:val="0"/>
        <w:autoSpaceDN w:val="0"/>
        <w:adjustRightInd w:val="0"/>
        <w:spacing w:line="500" w:lineRule="exact"/>
        <w:ind w:firstLine="493" w:firstLineChars="235"/>
        <w:rPr>
          <w:rFonts w:hint="eastAsia" w:ascii="楷体_GB2312" w:hAnsi="宋体" w:eastAsia="楷体_GB2312" w:cs="黑体"/>
          <w:kern w:val="0"/>
          <w:szCs w:val="21"/>
        </w:rPr>
      </w:pPr>
      <w:r>
        <w:rPr>
          <w:rFonts w:hint="eastAsia" w:ascii="楷体_GB2312" w:hAnsi="宋体" w:eastAsia="楷体_GB2312" w:cs="黑体"/>
          <w:kern w:val="0"/>
          <w:szCs w:val="21"/>
        </w:rPr>
        <w:t>g）用于试验的计算机软件，需采取适宜的方法进行验证和确认，并实施软件配置控制，当版本发生变化或修改，需重新验证和确认；</w:t>
      </w:r>
    </w:p>
    <w:p w14:paraId="62C18040">
      <w:pPr>
        <w:autoSpaceDE w:val="0"/>
        <w:autoSpaceDN w:val="0"/>
        <w:adjustRightInd w:val="0"/>
        <w:spacing w:line="500" w:lineRule="exact"/>
        <w:ind w:firstLine="493" w:firstLineChars="235"/>
        <w:rPr>
          <w:rFonts w:hint="eastAsia" w:ascii="楷体_GB2312" w:hAnsi="宋体" w:eastAsia="楷体_GB2312" w:cs="黑体"/>
          <w:kern w:val="0"/>
          <w:szCs w:val="21"/>
        </w:rPr>
      </w:pPr>
      <w:r>
        <w:rPr>
          <w:rFonts w:hint="eastAsia" w:ascii="楷体_GB2312" w:hAnsi="宋体" w:eastAsia="楷体_GB2312" w:cs="黑体"/>
          <w:kern w:val="0"/>
          <w:szCs w:val="21"/>
        </w:rPr>
        <w:t>h）鉴定试验应在有资质并得到顾客认可的试验机构进行。</w:t>
      </w:r>
    </w:p>
    <w:p w14:paraId="62CE13B6">
      <w:pPr>
        <w:autoSpaceDE w:val="0"/>
        <w:autoSpaceDN w:val="0"/>
        <w:adjustRightInd w:val="0"/>
        <w:spacing w:line="500" w:lineRule="exact"/>
        <w:ind w:firstLine="493" w:firstLineChars="235"/>
        <w:rPr>
          <w:rFonts w:hint="eastAsia" w:ascii="楷体_GB2312" w:hAnsi="宋体" w:eastAsia="楷体_GB2312" w:cs="宋体"/>
          <w:kern w:val="0"/>
          <w:szCs w:val="21"/>
        </w:rPr>
      </w:pPr>
      <w:r>
        <w:rPr>
          <w:rFonts w:hint="eastAsia" w:ascii="楷体_GB2312" w:hAnsi="宋体" w:eastAsia="楷体_GB2312" w:cs="黑体"/>
          <w:kern w:val="0"/>
          <w:szCs w:val="21"/>
        </w:rPr>
        <w:t>合同或顾客有关注要求的试验时，公司应邀请顾客参加其关注的试验，并将试验结果向顾客通报，试验过程变更时，公司应征得顾客同意</w:t>
      </w:r>
      <w:r>
        <w:rPr>
          <w:rFonts w:hint="eastAsia" w:ascii="楷体_GB2312" w:hAnsi="宋体" w:eastAsia="楷体_GB2312" w:cs="宋体"/>
          <w:kern w:val="0"/>
          <w:szCs w:val="21"/>
        </w:rPr>
        <w:t>。</w:t>
      </w:r>
    </w:p>
    <w:p w14:paraId="4C007743">
      <w:pPr>
        <w:pStyle w:val="3"/>
        <w:rPr>
          <w:rFonts w:hint="eastAsia"/>
        </w:rPr>
      </w:pPr>
      <w:bookmarkStart w:id="154" w:name="_Toc536539704"/>
      <w:bookmarkStart w:id="155" w:name="_Toc22010"/>
      <w:r>
        <w:rPr>
          <w:rFonts w:hint="eastAsia"/>
        </w:rPr>
        <w:t>8.4 外部提供过程、产品和服务的控制</w:t>
      </w:r>
      <w:bookmarkEnd w:id="154"/>
      <w:bookmarkEnd w:id="155"/>
    </w:p>
    <w:p w14:paraId="6F38A915">
      <w:pPr>
        <w:pStyle w:val="4"/>
        <w:rPr>
          <w:rFonts w:ascii="楷体_GB2312" w:hAnsi="宋体" w:eastAsia="楷体_GB2312" w:cs="宋体"/>
          <w:kern w:val="0"/>
        </w:rPr>
      </w:pPr>
      <w:bookmarkStart w:id="156" w:name="_Toc9624"/>
      <w:bookmarkStart w:id="157" w:name="_Toc536539705"/>
      <w:r>
        <w:rPr>
          <w:rFonts w:hint="eastAsia"/>
        </w:rPr>
        <w:t>8.4.1 总则</w:t>
      </w:r>
      <w:bookmarkEnd w:id="156"/>
      <w:bookmarkEnd w:id="157"/>
    </w:p>
    <w:p w14:paraId="52000B41">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公司建立、实施并保持</w:t>
      </w:r>
      <w:r>
        <w:rPr>
          <w:rFonts w:hint="eastAsia" w:ascii="宋体" w:hAnsi="宋体" w:cs="Arial"/>
          <w:kern w:val="0"/>
          <w:szCs w:val="21"/>
          <w:highlight w:val="yellow"/>
        </w:rPr>
        <w:t>《外部提供过程、产品和服务控制程序》</w:t>
      </w:r>
      <w:r>
        <w:rPr>
          <w:rFonts w:hint="eastAsia" w:ascii="宋体" w:hAnsi="宋体" w:cs="Arial"/>
          <w:kern w:val="0"/>
          <w:szCs w:val="21"/>
        </w:rPr>
        <w:t>，以确保外部提供的过程、产品和服务受控，符合要求。采购部负责组织各相关部门对外部提供的过程、产品和服务控制提出具体的要求，当：</w:t>
      </w:r>
    </w:p>
    <w:p w14:paraId="38EEA42F">
      <w:pPr>
        <w:widowControl/>
        <w:tabs>
          <w:tab w:val="left" w:pos="851"/>
        </w:tabs>
        <w:spacing w:line="360" w:lineRule="auto"/>
        <w:ind w:firstLine="420" w:firstLineChars="200"/>
        <w:jc w:val="left"/>
        <w:rPr>
          <w:rFonts w:hint="eastAsia" w:ascii="宋体" w:hAnsi="宋体" w:cs="Arial"/>
          <w:kern w:val="0"/>
          <w:szCs w:val="21"/>
        </w:rPr>
      </w:pPr>
      <w:r>
        <w:rPr>
          <w:rFonts w:hint="eastAsia" w:ascii="宋体" w:hAnsi="宋体" w:cs="Arial"/>
          <w:kern w:val="0"/>
          <w:szCs w:val="21"/>
        </w:rPr>
        <w:t>a)公司自身产品和服务的一部分是由外部供方提供的；</w:t>
      </w:r>
    </w:p>
    <w:p w14:paraId="15F5C95A">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b)外部供方代表公司直接向顾客提供产品和服务；</w:t>
      </w:r>
    </w:p>
    <w:p w14:paraId="41400565">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c)公司决定由外部供方提供过程或部分过程。</w:t>
      </w:r>
    </w:p>
    <w:p w14:paraId="53949B6F">
      <w:pPr>
        <w:pStyle w:val="155"/>
        <w:widowControl w:val="0"/>
        <w:autoSpaceDE w:val="0"/>
        <w:autoSpaceDN w:val="0"/>
        <w:adjustRightInd w:val="0"/>
        <w:spacing w:before="0" w:after="0" w:line="500" w:lineRule="exact"/>
        <w:ind w:firstLine="420" w:firstLineChars="20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采购部根据评价的结果编制合格供方名录，作为选择外部供方和采购的依据。在合格供方名录外选择外部供方采购时，应按规定履行审批手续。</w:t>
      </w:r>
      <w:r>
        <w:rPr>
          <w:rFonts w:hint="eastAsia" w:ascii="楷体_GB2312" w:hAnsi="宋体" w:eastAsia="楷体_GB2312" w:cs="楷体_GB2312"/>
          <w:sz w:val="21"/>
          <w:szCs w:val="21"/>
          <w:lang w:eastAsia="zh-CN"/>
        </w:rPr>
        <w:t>提供</w:t>
      </w:r>
      <w:r>
        <w:rPr>
          <w:rFonts w:hint="eastAsia" w:ascii="楷体_GB2312" w:hAnsi="宋体" w:eastAsia="楷体_GB2312" w:cs="宋体"/>
          <w:spacing w:val="8"/>
          <w:sz w:val="21"/>
          <w:szCs w:val="21"/>
          <w:shd w:val="clear" w:color="auto" w:fill="FFFFFF"/>
          <w:lang w:eastAsia="zh-CN"/>
        </w:rPr>
        <w:t>A</w:t>
      </w:r>
      <w:r>
        <w:rPr>
          <w:rFonts w:hint="eastAsia" w:ascii="楷体_GB2312" w:hAnsi="宋体" w:eastAsia="楷体_GB2312"/>
          <w:spacing w:val="8"/>
          <w:sz w:val="21"/>
          <w:szCs w:val="21"/>
          <w:shd w:val="clear" w:color="auto" w:fill="FFFFFF"/>
          <w:lang w:eastAsia="zh-CN"/>
        </w:rPr>
        <w:t>类</w:t>
      </w:r>
      <w:r>
        <w:rPr>
          <w:rFonts w:hint="eastAsia" w:ascii="楷体_GB2312" w:hAnsi="宋体" w:eastAsia="楷体_GB2312" w:cs="楷体_GB2312"/>
          <w:sz w:val="21"/>
          <w:szCs w:val="21"/>
          <w:lang w:eastAsia="zh-CN"/>
        </w:rPr>
        <w:t>采购产品、提供关重件、关键过程、特殊过程的外部供方对其直接和次级外部供方的质量控制能力、生产线、生产工艺、设备等重大变化情况应及时报告公司，公司应要求和督促外部供方采取适当的控制措施，以确保其提供的产品和服务满足要求。</w:t>
      </w:r>
    </w:p>
    <w:p w14:paraId="65B80528">
      <w:pPr>
        <w:pStyle w:val="155"/>
        <w:widowControl w:val="0"/>
        <w:autoSpaceDE w:val="0"/>
        <w:autoSpaceDN w:val="0"/>
        <w:adjustRightInd w:val="0"/>
        <w:spacing w:before="0" w:after="0" w:line="500" w:lineRule="exact"/>
        <w:ind w:left="42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营销部负责邀请顾客</w:t>
      </w:r>
      <w:r>
        <w:rPr>
          <w:rFonts w:hint="eastAsia" w:ascii="楷体_GB2312" w:hAnsi="宋体" w:eastAsia="楷体_GB2312" w:cs="楷体_GB2312"/>
          <w:sz w:val="21"/>
          <w:szCs w:val="21"/>
          <w:lang w:eastAsia="zh-CN"/>
        </w:rPr>
        <w:t>参加其关注的</w:t>
      </w:r>
      <w:r>
        <w:rPr>
          <w:rFonts w:hint="eastAsia" w:ascii="楷体_GB2312" w:hAnsi="宋体" w:eastAsia="楷体_GB2312"/>
          <w:sz w:val="21"/>
          <w:szCs w:val="21"/>
          <w:lang w:eastAsia="zh-CN"/>
        </w:rPr>
        <w:t>对外部供方的评价和选择。</w:t>
      </w:r>
    </w:p>
    <w:p w14:paraId="594B826D">
      <w:pPr>
        <w:pStyle w:val="155"/>
        <w:widowControl w:val="0"/>
        <w:autoSpaceDE w:val="0"/>
        <w:autoSpaceDN w:val="0"/>
        <w:adjustRightInd w:val="0"/>
        <w:spacing w:before="0" w:after="0" w:line="500" w:lineRule="exact"/>
        <w:ind w:left="42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选择、评价外部供方时，应确保有效地识别并控制风险。</w:t>
      </w:r>
    </w:p>
    <w:p w14:paraId="1D86694A">
      <w:pPr>
        <w:pStyle w:val="155"/>
        <w:widowControl w:val="0"/>
        <w:autoSpaceDE w:val="0"/>
        <w:autoSpaceDN w:val="0"/>
        <w:adjustRightInd w:val="0"/>
        <w:spacing w:before="0" w:after="0" w:line="500" w:lineRule="exact"/>
        <w:ind w:left="42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合格供方名录应明确外部供方提供的过程、产品和服务的范围。</w:t>
      </w:r>
    </w:p>
    <w:p w14:paraId="71E85A05">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营销部组织相关部门，基于外部供方按照规定的要求提供过程或产品和服务的能力，建立和应用评价、选择、绩效监视和重新评价外部供方的准则。</w:t>
      </w:r>
    </w:p>
    <w:p w14:paraId="17EEC1FD">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适用时，应确定产品和服务采购中环境和职业健康安全要求；</w:t>
      </w:r>
    </w:p>
    <w:p w14:paraId="3751B060">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营销部负责保留对外部供方进行评价、绩效监视和重新评价的结果的成文信息。</w:t>
      </w:r>
    </w:p>
    <w:p w14:paraId="73AFAA8C">
      <w:pPr>
        <w:pStyle w:val="4"/>
      </w:pPr>
      <w:bookmarkStart w:id="158" w:name="_Toc536539706"/>
      <w:bookmarkStart w:id="159" w:name="_Toc5609"/>
      <w:r>
        <w:rPr>
          <w:rFonts w:hint="eastAsia"/>
        </w:rPr>
        <w:t>8.4.2 控制类型和程度</w:t>
      </w:r>
      <w:bookmarkEnd w:id="158"/>
      <w:bookmarkEnd w:id="159"/>
    </w:p>
    <w:p w14:paraId="20B57C0D">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营销部应确保外部提供的过程、产品和服务不会对公司稳定地向顾客交付合格产品和服务的能力产生不利影响。公司应：</w:t>
      </w:r>
    </w:p>
    <w:p w14:paraId="755D1C2E">
      <w:pPr>
        <w:spacing w:line="360" w:lineRule="auto"/>
        <w:ind w:firstLine="420" w:firstLineChars="200"/>
        <w:rPr>
          <w:rFonts w:hint="eastAsia" w:ascii="宋体" w:hAnsi="宋体"/>
        </w:rPr>
      </w:pPr>
      <w:r>
        <w:rPr>
          <w:rFonts w:hint="eastAsia" w:ascii="宋体" w:hAnsi="宋体"/>
        </w:rPr>
        <w:t>a)确保外部提供的过程保持在公司的质量管理体系体系的控制之中；</w:t>
      </w:r>
    </w:p>
    <w:p w14:paraId="27AAD555">
      <w:pPr>
        <w:spacing w:line="360" w:lineRule="auto"/>
        <w:ind w:firstLine="420" w:firstLineChars="200"/>
        <w:rPr>
          <w:rFonts w:hint="eastAsia" w:ascii="宋体" w:hAnsi="宋体"/>
        </w:rPr>
      </w:pPr>
      <w:r>
        <w:rPr>
          <w:rFonts w:hint="eastAsia" w:ascii="宋体" w:hAnsi="宋体"/>
        </w:rPr>
        <w:t>b)规定对外部供方的控制及其输出结果的控制；</w:t>
      </w:r>
    </w:p>
    <w:p w14:paraId="28EB9ACD">
      <w:pPr>
        <w:spacing w:line="360" w:lineRule="auto"/>
        <w:ind w:firstLine="420" w:firstLineChars="200"/>
        <w:rPr>
          <w:rFonts w:hint="eastAsia" w:ascii="宋体" w:hAnsi="宋体"/>
        </w:rPr>
      </w:pPr>
      <w:r>
        <w:rPr>
          <w:rFonts w:hint="eastAsia" w:ascii="宋体" w:hAnsi="宋体"/>
        </w:rPr>
        <w:t>c)考虑：</w:t>
      </w:r>
    </w:p>
    <w:p w14:paraId="1777970D">
      <w:pPr>
        <w:tabs>
          <w:tab w:val="left" w:pos="1260"/>
        </w:tabs>
        <w:spacing w:line="360" w:lineRule="auto"/>
        <w:ind w:firstLine="420" w:firstLineChars="200"/>
        <w:rPr>
          <w:rFonts w:hint="eastAsia" w:ascii="宋体" w:hAnsi="宋体"/>
        </w:rPr>
      </w:pPr>
      <w:r>
        <w:rPr>
          <w:rFonts w:hint="eastAsia" w:ascii="宋体" w:hAnsi="宋体"/>
        </w:rPr>
        <w:t>1)外部提供的过程、产品和服务对公司稳定地提供满足顾客要求和适用的法律法规要求的能力的潜在影响；</w:t>
      </w:r>
    </w:p>
    <w:p w14:paraId="3B8E009B">
      <w:pPr>
        <w:tabs>
          <w:tab w:val="left" w:pos="1260"/>
        </w:tabs>
        <w:spacing w:line="360" w:lineRule="auto"/>
        <w:ind w:firstLine="420" w:firstLineChars="200"/>
        <w:rPr>
          <w:rFonts w:hint="eastAsia" w:ascii="宋体" w:hAnsi="宋体"/>
        </w:rPr>
      </w:pPr>
      <w:r>
        <w:rPr>
          <w:rFonts w:hint="eastAsia" w:ascii="宋体" w:hAnsi="宋体"/>
        </w:rPr>
        <w:t>2)外部供方自身控制的有效性。</w:t>
      </w:r>
    </w:p>
    <w:p w14:paraId="3F7013BD">
      <w:pPr>
        <w:spacing w:line="360" w:lineRule="auto"/>
        <w:ind w:firstLine="420" w:firstLineChars="200"/>
        <w:rPr>
          <w:rFonts w:hint="eastAsia" w:ascii="宋体" w:hAnsi="宋体"/>
        </w:rPr>
      </w:pPr>
      <w:r>
        <w:rPr>
          <w:rFonts w:hint="eastAsia" w:ascii="宋体" w:hAnsi="宋体"/>
        </w:rPr>
        <w:t>d)确定必要的验证和其他活动，以确保外部提供的过程、产品和服务满足要求。</w:t>
      </w:r>
    </w:p>
    <w:p w14:paraId="78A4BC8E">
      <w:pPr>
        <w:pStyle w:val="155"/>
        <w:widowControl w:val="0"/>
        <w:autoSpaceDE w:val="0"/>
        <w:autoSpaceDN w:val="0"/>
        <w:adjustRightInd w:val="0"/>
        <w:spacing w:before="0" w:after="0" w:line="500" w:lineRule="exact"/>
        <w:ind w:left="42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e)在采购合同或技术协议中明确验证要求、方法和合格判定准则，按要求实施验证，保留验证的记录；</w:t>
      </w:r>
    </w:p>
    <w:p w14:paraId="459923C2">
      <w:pPr>
        <w:pStyle w:val="155"/>
        <w:widowControl w:val="0"/>
        <w:autoSpaceDE w:val="0"/>
        <w:autoSpaceDN w:val="0"/>
        <w:adjustRightInd w:val="0"/>
        <w:spacing w:before="0" w:after="0" w:line="500" w:lineRule="exact"/>
        <w:ind w:firstLine="420" w:firstLineChars="20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f）在委托外部供方进行验证时，采购合同或技术协议应规定委托的要求并保留委托和验证的记录，包括实验室或试验机构的资质信息；</w:t>
      </w:r>
    </w:p>
    <w:p w14:paraId="539FB543">
      <w:pPr>
        <w:pStyle w:val="155"/>
        <w:widowControl w:val="0"/>
        <w:autoSpaceDE w:val="0"/>
        <w:autoSpaceDN w:val="0"/>
        <w:adjustRightInd w:val="0"/>
        <w:spacing w:before="0" w:after="0" w:line="500" w:lineRule="exact"/>
        <w:ind w:firstLine="420" w:firstLineChars="20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g)</w:t>
      </w:r>
      <w:r>
        <w:rPr>
          <w:rFonts w:hint="eastAsia" w:ascii="楷体_GB2312" w:hAnsi="楷体" w:eastAsia="楷体_GB2312"/>
          <w:lang w:eastAsia="zh-CN"/>
        </w:rPr>
        <w:t xml:space="preserve"> 在采购非货架软件时，要求并监督外部供方按照软件工程化要求实施控制，保留控制的记录</w:t>
      </w:r>
    </w:p>
    <w:p w14:paraId="3B149514">
      <w:pPr>
        <w:pStyle w:val="155"/>
        <w:widowControl w:val="0"/>
        <w:autoSpaceDE w:val="0"/>
        <w:autoSpaceDN w:val="0"/>
        <w:adjustRightInd w:val="0"/>
        <w:spacing w:before="0" w:after="0" w:line="500" w:lineRule="exact"/>
        <w:ind w:firstLine="420" w:firstLineChars="20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h）在采购新设计和开发的产品时，对采购项目和外部供方进行充分论证，并按规定审批；</w:t>
      </w:r>
    </w:p>
    <w:p w14:paraId="1B655E4C">
      <w:pPr>
        <w:pStyle w:val="155"/>
        <w:widowControl w:val="0"/>
        <w:autoSpaceDE w:val="0"/>
        <w:autoSpaceDN w:val="0"/>
        <w:adjustRightInd w:val="0"/>
        <w:spacing w:before="0" w:after="0" w:line="500" w:lineRule="exact"/>
        <w:ind w:firstLine="525" w:firstLineChars="250"/>
        <w:jc w:val="left"/>
        <w:rPr>
          <w:rFonts w:hint="eastAsia" w:ascii="楷体_GB2312" w:hAnsi="宋体" w:eastAsia="楷体_GB2312"/>
          <w:sz w:val="21"/>
          <w:szCs w:val="21"/>
          <w:lang w:val="en-US" w:eastAsia="zh-CN"/>
        </w:rPr>
      </w:pPr>
      <w:r>
        <w:rPr>
          <w:rFonts w:hint="eastAsia" w:ascii="楷体_GB2312" w:hAnsi="宋体" w:eastAsia="楷体_GB2312"/>
          <w:sz w:val="21"/>
          <w:szCs w:val="21"/>
          <w:lang w:eastAsia="zh-CN"/>
        </w:rPr>
        <w:t>i）确保采购的新设计和开发的产品，经验证合格后方可使用。</w:t>
      </w:r>
    </w:p>
    <w:p w14:paraId="7718698F">
      <w:pPr>
        <w:spacing w:line="360" w:lineRule="auto"/>
        <w:ind w:firstLine="420" w:firstLineChars="200"/>
        <w:rPr>
          <w:rFonts w:hint="eastAsia"/>
        </w:rPr>
      </w:pPr>
      <w:r>
        <w:rPr>
          <w:rFonts w:hint="eastAsia"/>
        </w:rPr>
        <w:t>采购部负责建立、实施并保持</w:t>
      </w:r>
      <w:r>
        <w:rPr>
          <w:rFonts w:hint="eastAsia" w:ascii="宋体" w:hAnsi="宋体" w:cs="Arial"/>
          <w:kern w:val="0"/>
          <w:szCs w:val="21"/>
          <w:highlight w:val="yellow"/>
        </w:rPr>
        <w:t>《外部提供过程、产品和服务控制程序》</w:t>
      </w:r>
      <w:r>
        <w:rPr>
          <w:rFonts w:hint="eastAsia"/>
        </w:rPr>
        <w:t>。</w:t>
      </w:r>
    </w:p>
    <w:p w14:paraId="50BFF2E1">
      <w:pPr>
        <w:spacing w:line="360" w:lineRule="auto"/>
        <w:ind w:firstLine="420" w:firstLineChars="200"/>
        <w:rPr>
          <w:rFonts w:hint="eastAsia"/>
        </w:rPr>
      </w:pPr>
      <w:r>
        <w:rPr>
          <w:rFonts w:hint="eastAsia"/>
        </w:rPr>
        <w:t>外包给外部供方的职能或过程仍在公司的质量管理体系范围内，因此，对于外包方，应考虑上述a)和b)的内容，并规定对外包方及外包产品的控制要求。具体按照</w:t>
      </w:r>
      <w:r>
        <w:rPr>
          <w:rFonts w:hint="eastAsia" w:ascii="宋体" w:hAnsi="宋体" w:cs="Arial"/>
          <w:kern w:val="0"/>
          <w:szCs w:val="21"/>
          <w:highlight w:val="yellow"/>
        </w:rPr>
        <w:t>《外部提供过程、产品和服务控制程序》</w:t>
      </w:r>
      <w:r>
        <w:rPr>
          <w:rFonts w:hint="eastAsia"/>
        </w:rPr>
        <w:t>的规定执行。</w:t>
      </w:r>
    </w:p>
    <w:p w14:paraId="399F3D65">
      <w:pPr>
        <w:pStyle w:val="4"/>
      </w:pPr>
      <w:bookmarkStart w:id="160" w:name="_Toc536539707"/>
      <w:bookmarkStart w:id="161" w:name="_Toc6310"/>
      <w:r>
        <w:rPr>
          <w:rFonts w:hint="eastAsia"/>
        </w:rPr>
        <w:t>8.4.3 外部供方的信息</w:t>
      </w:r>
      <w:bookmarkEnd w:id="160"/>
      <w:bookmarkEnd w:id="161"/>
    </w:p>
    <w:p w14:paraId="17937D0F">
      <w:pPr>
        <w:widowControl/>
        <w:spacing w:line="360" w:lineRule="auto"/>
        <w:ind w:firstLine="420" w:firstLineChars="200"/>
        <w:jc w:val="left"/>
        <w:rPr>
          <w:rFonts w:hint="eastAsia" w:ascii="宋体" w:hAnsi="宋体" w:cs="Arial"/>
          <w:kern w:val="0"/>
          <w:szCs w:val="21"/>
        </w:rPr>
      </w:pPr>
      <w:r>
        <w:rPr>
          <w:rFonts w:hint="eastAsia"/>
        </w:rPr>
        <w:t>采购部</w:t>
      </w:r>
      <w:r>
        <w:rPr>
          <w:rFonts w:hint="eastAsia" w:ascii="宋体" w:hAnsi="宋体" w:cs="Arial"/>
          <w:kern w:val="0"/>
          <w:szCs w:val="21"/>
        </w:rPr>
        <w:t>通过采购合同、采购计划、采购申请等方式与外部供方沟通下列适用的要求：</w:t>
      </w:r>
    </w:p>
    <w:p w14:paraId="6A05B707">
      <w:pPr>
        <w:spacing w:line="360" w:lineRule="auto"/>
        <w:ind w:firstLine="420" w:firstLineChars="200"/>
        <w:rPr>
          <w:rFonts w:hint="eastAsia" w:ascii="宋体" w:hAnsi="宋体"/>
        </w:rPr>
      </w:pPr>
      <w:r>
        <w:rPr>
          <w:rFonts w:hint="eastAsia" w:ascii="宋体" w:hAnsi="宋体"/>
        </w:rPr>
        <w:t>a)将要提供的过程、产品和服务；</w:t>
      </w:r>
    </w:p>
    <w:p w14:paraId="73E3DA98">
      <w:pPr>
        <w:spacing w:line="360" w:lineRule="auto"/>
        <w:ind w:firstLine="420" w:firstLineChars="200"/>
        <w:rPr>
          <w:rFonts w:hint="eastAsia" w:ascii="宋体" w:hAnsi="宋体"/>
        </w:rPr>
      </w:pPr>
      <w:r>
        <w:rPr>
          <w:rFonts w:hint="eastAsia" w:ascii="宋体" w:hAnsi="宋体"/>
        </w:rPr>
        <w:t>b)以下批准：</w:t>
      </w:r>
    </w:p>
    <w:p w14:paraId="34E494AD">
      <w:pPr>
        <w:spacing w:line="360" w:lineRule="auto"/>
        <w:ind w:firstLine="420" w:firstLineChars="200"/>
        <w:rPr>
          <w:rFonts w:hint="eastAsia" w:ascii="宋体" w:hAnsi="宋体"/>
        </w:rPr>
      </w:pPr>
      <w:r>
        <w:rPr>
          <w:rFonts w:hint="eastAsia" w:ascii="宋体" w:hAnsi="宋体"/>
        </w:rPr>
        <w:t>1)产品和服务；</w:t>
      </w:r>
    </w:p>
    <w:p w14:paraId="4511E46A">
      <w:pPr>
        <w:spacing w:line="360" w:lineRule="auto"/>
        <w:ind w:firstLine="420" w:firstLineChars="200"/>
        <w:rPr>
          <w:rFonts w:hint="eastAsia" w:ascii="宋体" w:hAnsi="宋体"/>
        </w:rPr>
      </w:pPr>
      <w:r>
        <w:rPr>
          <w:rFonts w:hint="eastAsia" w:ascii="宋体" w:hAnsi="宋体"/>
        </w:rPr>
        <w:t>2)方法、过程和设备；</w:t>
      </w:r>
    </w:p>
    <w:p w14:paraId="57492FEA">
      <w:pPr>
        <w:spacing w:line="360" w:lineRule="auto"/>
        <w:ind w:firstLine="420" w:firstLineChars="200"/>
        <w:rPr>
          <w:rFonts w:hint="eastAsia" w:ascii="宋体" w:hAnsi="宋体"/>
        </w:rPr>
      </w:pPr>
      <w:r>
        <w:rPr>
          <w:rFonts w:hint="eastAsia" w:ascii="宋体" w:hAnsi="宋体"/>
        </w:rPr>
        <w:t>3)产品的服务的放行；</w:t>
      </w:r>
    </w:p>
    <w:p w14:paraId="17E15761">
      <w:pPr>
        <w:spacing w:line="360" w:lineRule="auto"/>
        <w:ind w:firstLine="420" w:firstLineChars="200"/>
        <w:rPr>
          <w:rFonts w:hint="eastAsia" w:ascii="宋体" w:hAnsi="宋体"/>
        </w:rPr>
      </w:pPr>
      <w:r>
        <w:rPr>
          <w:rFonts w:hint="eastAsia" w:ascii="宋体" w:hAnsi="宋体"/>
        </w:rPr>
        <w:t>c)人员能力，包括人员必要的资格；</w:t>
      </w:r>
    </w:p>
    <w:p w14:paraId="51D49E75">
      <w:pPr>
        <w:spacing w:line="360" w:lineRule="auto"/>
        <w:ind w:firstLine="420" w:firstLineChars="200"/>
        <w:rPr>
          <w:rFonts w:hint="eastAsia" w:ascii="宋体" w:hAnsi="宋体"/>
        </w:rPr>
      </w:pPr>
      <w:r>
        <w:rPr>
          <w:rFonts w:hint="eastAsia" w:ascii="宋体" w:hAnsi="宋体"/>
        </w:rPr>
        <w:t>d)外部供方与公司的接口；</w:t>
      </w:r>
    </w:p>
    <w:p w14:paraId="7487D023">
      <w:pPr>
        <w:spacing w:line="360" w:lineRule="auto"/>
        <w:ind w:firstLine="420" w:firstLineChars="200"/>
        <w:rPr>
          <w:rFonts w:hint="eastAsia" w:ascii="宋体" w:hAnsi="宋体"/>
        </w:rPr>
      </w:pPr>
      <w:r>
        <w:rPr>
          <w:rFonts w:hint="eastAsia" w:ascii="宋体" w:hAnsi="宋体"/>
        </w:rPr>
        <w:t>e)公司实施的外部供方绩效的控制和监视；</w:t>
      </w:r>
    </w:p>
    <w:p w14:paraId="05E00046">
      <w:pPr>
        <w:spacing w:line="360" w:lineRule="auto"/>
        <w:ind w:firstLine="420" w:firstLineChars="200"/>
        <w:rPr>
          <w:rFonts w:hint="eastAsia" w:ascii="宋体" w:hAnsi="宋体"/>
        </w:rPr>
      </w:pPr>
      <w:r>
        <w:rPr>
          <w:rFonts w:hint="eastAsia" w:ascii="宋体" w:hAnsi="宋体"/>
        </w:rPr>
        <w:t>f)公司或顾客拟在供方现场实施的验证或确认活动的安排。</w:t>
      </w:r>
    </w:p>
    <w:p w14:paraId="0D2825D0">
      <w:pPr>
        <w:pStyle w:val="119"/>
        <w:widowControl w:val="0"/>
        <w:autoSpaceDE w:val="0"/>
        <w:autoSpaceDN w:val="0"/>
        <w:adjustRightInd w:val="0"/>
        <w:spacing w:before="0" w:after="0" w:line="500" w:lineRule="exact"/>
        <w:ind w:firstLine="420" w:firstLineChars="20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g</w:t>
      </w:r>
      <w:r>
        <w:rPr>
          <w:rFonts w:hint="eastAsia" w:ascii="楷体_GB2312" w:hAnsi="宋体" w:eastAsia="楷体_GB2312" w:cs="宋体"/>
          <w:sz w:val="21"/>
          <w:szCs w:val="21"/>
          <w:lang w:eastAsia="zh-CN"/>
        </w:rPr>
        <w:t>）</w:t>
      </w:r>
      <w:r>
        <w:rPr>
          <w:rFonts w:hint="eastAsia" w:ascii="楷体_GB2312" w:hAnsi="宋体" w:eastAsia="楷体_GB2312"/>
          <w:sz w:val="21"/>
          <w:szCs w:val="21"/>
          <w:lang w:eastAsia="zh-CN"/>
        </w:rPr>
        <w:t>在采购或外包合同或技术协议中，明确外部供方提供产品的功能和性能要求、质量保证要求和保障要求的内容；</w:t>
      </w:r>
    </w:p>
    <w:p w14:paraId="502DE2A7">
      <w:pPr>
        <w:pStyle w:val="119"/>
        <w:widowControl w:val="0"/>
        <w:autoSpaceDE w:val="0"/>
        <w:autoSpaceDN w:val="0"/>
        <w:adjustRightInd w:val="0"/>
        <w:spacing w:before="0" w:after="0" w:line="500" w:lineRule="exact"/>
        <w:ind w:firstLine="420" w:firstLineChars="20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h）外部供方</w:t>
      </w:r>
      <w:r>
        <w:rPr>
          <w:rFonts w:hint="eastAsia" w:ascii="楷体_GB2312" w:hAnsi="宋体" w:eastAsia="楷体_GB2312" w:cs="楷体_GB2312"/>
          <w:sz w:val="21"/>
          <w:szCs w:val="21"/>
          <w:lang w:eastAsia="zh-CN"/>
        </w:rPr>
        <w:t>需提供产品和服务的技术质量问题及处理结果报告，特别关注</w:t>
      </w:r>
      <w:r>
        <w:rPr>
          <w:rFonts w:hint="eastAsia" w:ascii="楷体_GB2312" w:hAnsi="宋体" w:eastAsia="楷体_GB2312"/>
          <w:sz w:val="21"/>
          <w:szCs w:val="21"/>
          <w:lang w:eastAsia="zh-CN"/>
        </w:rPr>
        <w:t>关键、重要特性产品和服务的重大故障（事故）及处理结果的报告；</w:t>
      </w:r>
    </w:p>
    <w:p w14:paraId="7D40CF0F">
      <w:pPr>
        <w:pStyle w:val="119"/>
        <w:widowControl w:val="0"/>
        <w:autoSpaceDE w:val="0"/>
        <w:autoSpaceDN w:val="0"/>
        <w:adjustRightInd w:val="0"/>
        <w:spacing w:before="0" w:after="0" w:line="500" w:lineRule="exact"/>
        <w:ind w:firstLine="420" w:firstLineChars="20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i) 外部供方需提供产品的技术状态变更、其生产线和工艺或设备发生变化的信息；</w:t>
      </w:r>
    </w:p>
    <w:p w14:paraId="4530FC7C">
      <w:pPr>
        <w:pStyle w:val="119"/>
        <w:widowControl w:val="0"/>
        <w:autoSpaceDE w:val="0"/>
        <w:autoSpaceDN w:val="0"/>
        <w:adjustRightInd w:val="0"/>
        <w:spacing w:before="0" w:after="0" w:line="500" w:lineRule="exact"/>
        <w:ind w:firstLine="420" w:firstLineChars="20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j) 包含对外部供方生产和保持的成文信息的控制要求；</w:t>
      </w:r>
    </w:p>
    <w:p w14:paraId="6F5DECA0">
      <w:pPr>
        <w:pStyle w:val="119"/>
        <w:widowControl w:val="0"/>
        <w:autoSpaceDE w:val="0"/>
        <w:autoSpaceDN w:val="0"/>
        <w:adjustRightInd w:val="0"/>
        <w:spacing w:before="0" w:after="0" w:line="500" w:lineRule="exact"/>
        <w:ind w:firstLine="420" w:firstLineChars="20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k) 外部供方应提供的其他信息。如产品防护、运输、代表公司直接交付给顾客时的交付证据等</w:t>
      </w:r>
      <w:r>
        <w:rPr>
          <w:rFonts w:hint="eastAsia" w:ascii="楷体_GB2312" w:hAnsi="宋体" w:eastAsia="楷体_GB2312" w:cs="宋体"/>
          <w:sz w:val="21"/>
          <w:szCs w:val="21"/>
          <w:lang w:eastAsia="zh-CN"/>
        </w:rPr>
        <w:t>。</w:t>
      </w:r>
    </w:p>
    <w:p w14:paraId="25AA69F6">
      <w:pPr>
        <w:spacing w:line="360" w:lineRule="auto"/>
        <w:ind w:firstLine="420" w:firstLineChars="200"/>
        <w:rPr>
          <w:rFonts w:hint="eastAsia"/>
        </w:rPr>
      </w:pPr>
      <w:r>
        <w:rPr>
          <w:rFonts w:hint="eastAsia"/>
        </w:rPr>
        <w:t>采购部通过对采购合同、采购计划、采购申请等的审批的方式确保在与外部供方沟通之前，这些规定的要求是充分的。</w:t>
      </w:r>
    </w:p>
    <w:p w14:paraId="04374926">
      <w:pPr>
        <w:pStyle w:val="3"/>
      </w:pPr>
      <w:bookmarkStart w:id="162" w:name="_Toc462"/>
      <w:bookmarkStart w:id="163" w:name="_Toc536539708"/>
      <w:r>
        <w:rPr>
          <w:rFonts w:hint="eastAsia"/>
        </w:rPr>
        <w:t>8.5 生产和服务提供</w:t>
      </w:r>
      <w:bookmarkEnd w:id="162"/>
      <w:bookmarkEnd w:id="163"/>
    </w:p>
    <w:p w14:paraId="5C0B60F1">
      <w:pPr>
        <w:pStyle w:val="4"/>
      </w:pPr>
      <w:bookmarkStart w:id="164" w:name="_Toc27882"/>
      <w:bookmarkStart w:id="165" w:name="_Toc536539709"/>
      <w:r>
        <w:rPr>
          <w:rFonts w:hint="eastAsia"/>
        </w:rPr>
        <w:t>8.5.1 生产和服务提供的控制</w:t>
      </w:r>
      <w:bookmarkEnd w:id="164"/>
      <w:bookmarkEnd w:id="165"/>
    </w:p>
    <w:p w14:paraId="0E7413FE">
      <w:pPr>
        <w:spacing w:line="350" w:lineRule="auto"/>
        <w:ind w:firstLine="420" w:firstLineChars="200"/>
        <w:rPr>
          <w:rFonts w:hint="eastAsia"/>
        </w:rPr>
      </w:pPr>
      <w:r>
        <w:rPr>
          <w:rFonts w:hint="eastAsia"/>
        </w:rPr>
        <w:t>公司制定、实施和保持</w:t>
      </w:r>
      <w:r>
        <w:rPr>
          <w:rFonts w:hint="eastAsia" w:ascii="宋体" w:hAnsi="宋体"/>
          <w:sz w:val="24"/>
          <w:highlight w:val="yellow"/>
        </w:rPr>
        <w:t>《生产和服务提供过程控制程序》</w:t>
      </w:r>
      <w:r>
        <w:rPr>
          <w:rFonts w:hint="eastAsia"/>
        </w:rPr>
        <w:t>，以明确公司产品生产过程控制的具体要求。</w:t>
      </w:r>
      <w:r>
        <w:rPr>
          <w:rFonts w:hint="eastAsia" w:ascii="宋体" w:hAnsi="宋体" w:cs="Arial"/>
          <w:kern w:val="0"/>
          <w:szCs w:val="21"/>
        </w:rPr>
        <w:t>公司应在受控条件下实施生产和服务提供，包括交付和交付后的活动。</w:t>
      </w:r>
    </w:p>
    <w:p w14:paraId="5A05CC75">
      <w:pPr>
        <w:widowControl/>
        <w:spacing w:line="350" w:lineRule="auto"/>
        <w:ind w:firstLine="420" w:firstLineChars="200"/>
        <w:jc w:val="left"/>
        <w:rPr>
          <w:rFonts w:hint="eastAsia" w:ascii="宋体" w:hAnsi="宋体" w:cs="Arial"/>
          <w:kern w:val="0"/>
          <w:szCs w:val="21"/>
        </w:rPr>
      </w:pPr>
      <w:r>
        <w:rPr>
          <w:rFonts w:hint="eastAsia" w:ascii="宋体" w:hAnsi="宋体" w:cs="Arial"/>
          <w:kern w:val="0"/>
          <w:szCs w:val="21"/>
        </w:rPr>
        <w:t>适用时，受控条件包括：</w:t>
      </w:r>
    </w:p>
    <w:p w14:paraId="25890164">
      <w:pPr>
        <w:pStyle w:val="150"/>
        <w:numPr>
          <w:ilvl w:val="0"/>
          <w:numId w:val="12"/>
        </w:numPr>
        <w:spacing w:line="360" w:lineRule="atLeast"/>
        <w:jc w:val="left"/>
        <w:rPr>
          <w:rFonts w:hAnsi="宋体" w:cs="Times New Roman"/>
          <w:color w:val="auto"/>
          <w:kern w:val="2"/>
          <w:sz w:val="21"/>
          <w:szCs w:val="22"/>
        </w:rPr>
      </w:pPr>
      <w:r>
        <w:rPr>
          <w:rFonts w:hint="eastAsia" w:hAnsi="宋体" w:cs="Times New Roman"/>
          <w:color w:val="auto"/>
          <w:kern w:val="2"/>
          <w:sz w:val="21"/>
          <w:szCs w:val="22"/>
        </w:rPr>
        <w:t>获得规定所生产的产品、提供的服务、进行的活动的特征和拟获得的结果的成文信息（如：合同、技术规格书、订单信息、产品质量标准、产品图样、工艺总方案、工艺规程、作业指导书、工艺过程卡、调试说明、试验大纲、试验实施细则、维修方案等工艺文件），以规定以下内容：</w:t>
      </w:r>
    </w:p>
    <w:p w14:paraId="02364DA5">
      <w:pPr>
        <w:pStyle w:val="144"/>
        <w:autoSpaceDE w:val="0"/>
        <w:autoSpaceDN w:val="0"/>
        <w:adjustRightInd w:val="0"/>
        <w:spacing w:line="360" w:lineRule="atLeast"/>
        <w:ind w:left="838" w:firstLine="0" w:firstLineChars="0"/>
        <w:jc w:val="left"/>
        <w:rPr>
          <w:rFonts w:ascii="宋体" w:hAnsi="宋体"/>
          <w:szCs w:val="22"/>
        </w:rPr>
      </w:pPr>
      <w:r>
        <w:rPr>
          <w:rFonts w:ascii="宋体" w:hAnsi="宋体"/>
          <w:szCs w:val="22"/>
        </w:rPr>
        <w:t>1</w:t>
      </w:r>
      <w:r>
        <w:rPr>
          <w:rFonts w:hint="eastAsia" w:ascii="宋体" w:hAnsi="宋体"/>
          <w:szCs w:val="22"/>
        </w:rPr>
        <w:t>)拟生产的产品、提供的服务或进行的活动的特性；</w:t>
      </w:r>
    </w:p>
    <w:p w14:paraId="068E1522">
      <w:pPr>
        <w:pStyle w:val="144"/>
        <w:autoSpaceDE w:val="0"/>
        <w:autoSpaceDN w:val="0"/>
        <w:adjustRightInd w:val="0"/>
        <w:spacing w:line="360" w:lineRule="atLeast"/>
        <w:ind w:left="838" w:firstLine="0" w:firstLineChars="0"/>
        <w:jc w:val="left"/>
        <w:rPr>
          <w:rFonts w:hint="eastAsia" w:ascii="宋体" w:hAnsi="宋体"/>
          <w:szCs w:val="22"/>
        </w:rPr>
      </w:pPr>
      <w:r>
        <w:rPr>
          <w:rFonts w:ascii="宋体" w:hAnsi="宋体"/>
          <w:szCs w:val="22"/>
        </w:rPr>
        <w:t>2</w:t>
      </w:r>
      <w:r>
        <w:rPr>
          <w:rFonts w:hint="eastAsia" w:ascii="宋体" w:hAnsi="宋体"/>
          <w:szCs w:val="22"/>
        </w:rPr>
        <w:t>)拟获得的结果。</w:t>
      </w:r>
    </w:p>
    <w:p w14:paraId="58172B51">
      <w:pPr>
        <w:spacing w:line="350" w:lineRule="auto"/>
        <w:ind w:firstLine="420" w:firstLineChars="200"/>
        <w:rPr>
          <w:rFonts w:hint="eastAsia" w:ascii="宋体" w:hAnsi="宋体"/>
        </w:rPr>
      </w:pPr>
      <w:r>
        <w:rPr>
          <w:rFonts w:hint="eastAsia" w:ascii="宋体" w:hAnsi="宋体"/>
        </w:rPr>
        <w:t>b) 可获得和使用适宜的监视和测量资源（如：各种计量器具、评价方法等）；</w:t>
      </w:r>
    </w:p>
    <w:p w14:paraId="13C6FAAA">
      <w:pPr>
        <w:spacing w:line="350" w:lineRule="auto"/>
        <w:ind w:firstLine="420" w:firstLineChars="200"/>
        <w:rPr>
          <w:rFonts w:hint="eastAsia" w:ascii="宋体" w:hAnsi="宋体"/>
        </w:rPr>
      </w:pPr>
      <w:r>
        <w:rPr>
          <w:rFonts w:hint="eastAsia" w:ascii="宋体" w:hAnsi="宋体"/>
        </w:rPr>
        <w:t>c) 在适当阶段实施监视和测量活动以验证是否符合过程或输出的控制准则以及产品和服务的接收准则；（如：生产各阶段的检验、试验活动）</w:t>
      </w:r>
    </w:p>
    <w:p w14:paraId="3B832D5E">
      <w:pPr>
        <w:spacing w:line="350" w:lineRule="auto"/>
        <w:ind w:firstLine="420" w:firstLineChars="200"/>
        <w:rPr>
          <w:rFonts w:hint="eastAsia" w:ascii="宋体" w:hAnsi="宋体"/>
        </w:rPr>
      </w:pPr>
      <w:r>
        <w:rPr>
          <w:rFonts w:hint="eastAsia" w:ascii="宋体" w:hAnsi="宋体"/>
        </w:rPr>
        <w:t>d)为过程的运行提供适宜的基础设施和环境；（如：加工设备、焊接设备、起重设备、存储场地等）</w:t>
      </w:r>
    </w:p>
    <w:p w14:paraId="03E5F8E4">
      <w:pPr>
        <w:spacing w:line="350" w:lineRule="auto"/>
        <w:ind w:firstLine="420" w:firstLineChars="200"/>
        <w:rPr>
          <w:rFonts w:hint="eastAsia" w:ascii="宋体" w:hAnsi="宋体"/>
        </w:rPr>
      </w:pPr>
      <w:r>
        <w:rPr>
          <w:rFonts w:hint="eastAsia" w:ascii="宋体" w:hAnsi="宋体"/>
        </w:rPr>
        <w:t>e) 配备具备能力的人员，包括所要求的资格（如：车工、焊工、叉车工、电工等）；</w:t>
      </w:r>
    </w:p>
    <w:p w14:paraId="38C67825">
      <w:pPr>
        <w:spacing w:line="350" w:lineRule="auto"/>
        <w:ind w:firstLine="420" w:firstLineChars="200"/>
        <w:rPr>
          <w:rFonts w:hint="eastAsia" w:ascii="宋体" w:hAnsi="宋体"/>
        </w:rPr>
      </w:pPr>
      <w:r>
        <w:rPr>
          <w:rFonts w:hint="eastAsia" w:ascii="宋体" w:hAnsi="宋体"/>
        </w:rPr>
        <w:t>f) 生产和服务提供过程中，产生的输出不能由后续的监视或测量加以验证时，对该过程实现所策划结果的能力进行确认和定期的再确认；本公司识别的特殊过程有：</w:t>
      </w:r>
      <w:r>
        <w:rPr>
          <w:rFonts w:hint="eastAsia" w:ascii="宋体" w:hAnsi="宋体"/>
          <w:highlight w:val="yellow"/>
        </w:rPr>
        <w:t>锻造、铸造、热处理、焊接、油漆等，其中锻造、铸造、热处理为外包过程</w:t>
      </w:r>
      <w:r>
        <w:rPr>
          <w:rFonts w:hint="eastAsia" w:ascii="宋体" w:hAnsi="宋体"/>
        </w:rPr>
        <w:t>。</w:t>
      </w:r>
    </w:p>
    <w:p w14:paraId="2E48ABC7">
      <w:pPr>
        <w:pStyle w:val="137"/>
        <w:widowControl w:val="0"/>
        <w:autoSpaceDE w:val="0"/>
        <w:autoSpaceDN w:val="0"/>
        <w:adjustRightInd w:val="0"/>
        <w:spacing w:before="0" w:after="0" w:line="500" w:lineRule="exact"/>
        <w:ind w:right="-105" w:firstLine="420" w:firstLineChars="200"/>
        <w:jc w:val="left"/>
        <w:rPr>
          <w:rFonts w:hint="eastAsia" w:ascii="宋体" w:hAnsi="宋体" w:eastAsia="宋体"/>
          <w:kern w:val="2"/>
          <w:sz w:val="21"/>
          <w:lang w:val="en-US" w:eastAsia="zh-CN"/>
        </w:rPr>
      </w:pPr>
      <w:r>
        <w:rPr>
          <w:rFonts w:hint="eastAsia" w:ascii="宋体" w:hAnsi="宋体" w:eastAsia="宋体"/>
          <w:kern w:val="2"/>
          <w:sz w:val="21"/>
          <w:lang w:val="en-US" w:eastAsia="zh-CN"/>
        </w:rPr>
        <w:t>研发部负责通过以下确认活动证实这些特殊过程实现所策划的结果的能力：</w:t>
      </w:r>
    </w:p>
    <w:p w14:paraId="333C4748">
      <w:pPr>
        <w:pStyle w:val="137"/>
        <w:widowControl w:val="0"/>
        <w:autoSpaceDE w:val="0"/>
        <w:autoSpaceDN w:val="0"/>
        <w:adjustRightInd w:val="0"/>
        <w:spacing w:before="0" w:after="0" w:line="500" w:lineRule="exact"/>
        <w:ind w:right="-105" w:firstLine="705" w:firstLineChars="336"/>
        <w:jc w:val="left"/>
        <w:rPr>
          <w:rFonts w:hint="eastAsia" w:ascii="宋体" w:hAnsi="宋体" w:eastAsia="宋体"/>
          <w:kern w:val="2"/>
          <w:sz w:val="21"/>
          <w:lang w:val="en-US" w:eastAsia="zh-CN"/>
        </w:rPr>
      </w:pPr>
      <w:r>
        <w:rPr>
          <w:rFonts w:hint="eastAsia" w:ascii="宋体" w:hAnsi="宋体" w:eastAsia="宋体"/>
          <w:kern w:val="2"/>
          <w:sz w:val="21"/>
          <w:lang w:val="en-US" w:eastAsia="zh-CN"/>
        </w:rPr>
        <w:t>1) 研发部负责编制过程的确认和批准准则，确定确认方法、生产和试验要求；</w:t>
      </w:r>
    </w:p>
    <w:p w14:paraId="1FF22D80">
      <w:pPr>
        <w:pStyle w:val="137"/>
        <w:widowControl w:val="0"/>
        <w:autoSpaceDE w:val="0"/>
        <w:autoSpaceDN w:val="0"/>
        <w:adjustRightInd w:val="0"/>
        <w:spacing w:before="0" w:after="0" w:line="500" w:lineRule="exact"/>
        <w:ind w:right="-105" w:firstLine="705" w:firstLineChars="336"/>
        <w:jc w:val="left"/>
        <w:rPr>
          <w:rFonts w:hint="eastAsia" w:ascii="宋体" w:hAnsi="宋体" w:eastAsia="宋体"/>
          <w:kern w:val="2"/>
          <w:sz w:val="21"/>
          <w:lang w:val="en-US" w:eastAsia="zh-CN"/>
        </w:rPr>
      </w:pPr>
      <w:r>
        <w:rPr>
          <w:rFonts w:hint="eastAsia" w:ascii="宋体" w:hAnsi="宋体" w:eastAsia="宋体"/>
          <w:kern w:val="2"/>
          <w:sz w:val="21"/>
          <w:lang w:val="en-US" w:eastAsia="zh-CN"/>
        </w:rPr>
        <w:t>2）研发部组织制造部对过程的设备进行认可、组织制造部进行工艺鉴定，证实所使用的过程方法符合要求并有效实施；</w:t>
      </w:r>
    </w:p>
    <w:p w14:paraId="5401276B">
      <w:pPr>
        <w:pStyle w:val="137"/>
        <w:widowControl w:val="0"/>
        <w:autoSpaceDE w:val="0"/>
        <w:autoSpaceDN w:val="0"/>
        <w:adjustRightInd w:val="0"/>
        <w:spacing w:before="0" w:after="0" w:line="500" w:lineRule="exact"/>
        <w:ind w:right="-105" w:firstLine="705" w:firstLineChars="336"/>
        <w:jc w:val="left"/>
        <w:rPr>
          <w:rFonts w:hint="eastAsia" w:ascii="宋体" w:hAnsi="宋体" w:eastAsia="宋体"/>
          <w:kern w:val="2"/>
          <w:sz w:val="21"/>
          <w:lang w:val="en-US" w:eastAsia="zh-CN"/>
        </w:rPr>
      </w:pPr>
      <w:r>
        <w:rPr>
          <w:rFonts w:hint="eastAsia" w:ascii="宋体" w:hAnsi="宋体" w:eastAsia="宋体"/>
          <w:kern w:val="2"/>
          <w:sz w:val="21"/>
          <w:lang w:val="en-US" w:eastAsia="zh-CN"/>
        </w:rPr>
        <w:t>3）管理部负责对相关生产人员进行资格确认，组织岗位技能培训、考核合格才能上岗；</w:t>
      </w:r>
    </w:p>
    <w:p w14:paraId="469777C8">
      <w:pPr>
        <w:pStyle w:val="137"/>
        <w:widowControl w:val="0"/>
        <w:autoSpaceDE w:val="0"/>
        <w:autoSpaceDN w:val="0"/>
        <w:adjustRightInd w:val="0"/>
        <w:spacing w:before="0" w:after="0" w:line="500" w:lineRule="exact"/>
        <w:ind w:right="-105" w:firstLine="705" w:firstLineChars="336"/>
        <w:jc w:val="left"/>
        <w:rPr>
          <w:rFonts w:hint="eastAsia" w:ascii="宋体" w:hAnsi="宋体" w:eastAsia="宋体"/>
          <w:kern w:val="2"/>
          <w:sz w:val="21"/>
          <w:lang w:val="en-US" w:eastAsia="zh-CN"/>
        </w:rPr>
      </w:pPr>
      <w:r>
        <w:rPr>
          <w:rFonts w:hint="eastAsia" w:ascii="宋体" w:hAnsi="宋体" w:eastAsia="宋体"/>
          <w:kern w:val="2"/>
          <w:sz w:val="21"/>
          <w:lang w:val="en-US" w:eastAsia="zh-CN"/>
        </w:rPr>
        <w:t>4）制造部按研发部确定的工艺参数和确认程序组织制作，并对过程参数的控制进行监视和记录；品质部负责通过对试样检验试验证明产品符合规定要求，对过程参数进行试验验证，从而确定最佳的工艺参数。</w:t>
      </w:r>
    </w:p>
    <w:p w14:paraId="1DB239E2">
      <w:pPr>
        <w:pStyle w:val="137"/>
        <w:widowControl w:val="0"/>
        <w:autoSpaceDE w:val="0"/>
        <w:autoSpaceDN w:val="0"/>
        <w:adjustRightInd w:val="0"/>
        <w:spacing w:before="0" w:after="0" w:line="500" w:lineRule="exact"/>
        <w:ind w:right="-105" w:firstLine="705" w:firstLineChars="336"/>
        <w:jc w:val="left"/>
        <w:rPr>
          <w:rFonts w:hint="eastAsia" w:ascii="宋体" w:hAnsi="宋体" w:eastAsia="宋体"/>
          <w:kern w:val="2"/>
          <w:sz w:val="21"/>
          <w:lang w:val="en-US" w:eastAsia="zh-CN"/>
        </w:rPr>
      </w:pPr>
      <w:r>
        <w:rPr>
          <w:rFonts w:hint="eastAsia" w:ascii="宋体" w:hAnsi="宋体" w:eastAsia="宋体"/>
          <w:kern w:val="2"/>
          <w:sz w:val="21"/>
          <w:lang w:val="en-US" w:eastAsia="zh-CN"/>
        </w:rPr>
        <w:t>5）过程的再确认：正常情况下每三年进行一次再确认；当生产条件、工艺参数、生产设备、人员发生变化时，应适时进行再确认，确保对影响过程能力的变化及时作出调整；当过程参数与原来的确认结果有变化时，根据再确认结果对相应的生产工艺和作业指导书进行更改。</w:t>
      </w:r>
    </w:p>
    <w:p w14:paraId="70515C6B">
      <w:pPr>
        <w:pStyle w:val="137"/>
        <w:widowControl w:val="0"/>
        <w:autoSpaceDE w:val="0"/>
        <w:autoSpaceDN w:val="0"/>
        <w:adjustRightInd w:val="0"/>
        <w:spacing w:before="0" w:after="0" w:line="500" w:lineRule="exact"/>
        <w:ind w:right="-105" w:firstLine="735" w:firstLineChars="350"/>
        <w:jc w:val="left"/>
        <w:rPr>
          <w:rFonts w:hint="eastAsia" w:ascii="宋体" w:hAnsi="宋体" w:eastAsia="宋体"/>
          <w:kern w:val="2"/>
          <w:sz w:val="21"/>
          <w:lang w:val="en-US" w:eastAsia="zh-CN"/>
        </w:rPr>
      </w:pPr>
      <w:r>
        <w:rPr>
          <w:rFonts w:hint="eastAsia" w:ascii="宋体" w:hAnsi="宋体" w:eastAsia="宋体"/>
          <w:kern w:val="2"/>
          <w:sz w:val="21"/>
          <w:lang w:val="en-US" w:eastAsia="zh-CN"/>
        </w:rPr>
        <w:t>6)研发部负责保留过程确认记录。</w:t>
      </w:r>
    </w:p>
    <w:p w14:paraId="519BA713">
      <w:pPr>
        <w:spacing w:line="350" w:lineRule="auto"/>
        <w:ind w:firstLine="420" w:firstLineChars="200"/>
        <w:rPr>
          <w:rFonts w:hint="eastAsia" w:ascii="宋体" w:hAnsi="宋体"/>
        </w:rPr>
      </w:pPr>
      <w:r>
        <w:rPr>
          <w:rFonts w:hint="eastAsia" w:ascii="宋体" w:hAnsi="宋体"/>
          <w:lang w:val="ru-RU"/>
        </w:rPr>
        <w:t>g)</w:t>
      </w:r>
      <w:r>
        <w:rPr>
          <w:rFonts w:hint="eastAsia" w:ascii="宋体" w:hAnsi="宋体"/>
        </w:rPr>
        <w:t>采取措施防止人为的错误；</w:t>
      </w:r>
    </w:p>
    <w:p w14:paraId="0786ED36">
      <w:pPr>
        <w:spacing w:line="350" w:lineRule="auto"/>
        <w:ind w:firstLine="420" w:firstLineChars="200"/>
        <w:rPr>
          <w:rFonts w:hint="eastAsia" w:ascii="宋体" w:hAnsi="宋体"/>
        </w:rPr>
      </w:pPr>
      <w:r>
        <w:rPr>
          <w:rFonts w:hint="eastAsia" w:ascii="宋体" w:hAnsi="宋体"/>
        </w:rPr>
        <w:t>h)实施产品和服务的放行、交付和交付后活动（如产品使用培训/技术交底、产品质保期内的维修服务、产品运行故障排除等）。</w:t>
      </w:r>
    </w:p>
    <w:p w14:paraId="6A175133">
      <w:pPr>
        <w:pStyle w:val="137"/>
        <w:widowControl w:val="0"/>
        <w:autoSpaceDE w:val="0"/>
        <w:autoSpaceDN w:val="0"/>
        <w:adjustRightInd w:val="0"/>
        <w:spacing w:before="0" w:after="0" w:line="500" w:lineRule="exact"/>
        <w:ind w:right="-105" w:firstLine="420" w:firstLineChars="200"/>
        <w:jc w:val="left"/>
        <w:rPr>
          <w:rFonts w:hint="eastAsia" w:ascii="楷体_GB2312" w:hAnsi="宋体" w:eastAsia="宋体"/>
          <w:sz w:val="21"/>
          <w:szCs w:val="21"/>
          <w:lang w:eastAsia="zh-CN"/>
        </w:rPr>
      </w:pPr>
      <w:r>
        <w:rPr>
          <w:rFonts w:hint="eastAsia" w:ascii="楷体_GB2312" w:hAnsi="宋体" w:eastAsia="楷体_GB2312"/>
          <w:sz w:val="21"/>
          <w:szCs w:val="21"/>
          <w:lang w:val="en-US" w:eastAsia="zh-CN"/>
        </w:rPr>
        <w:t>i)</w:t>
      </w:r>
      <w:r>
        <w:rPr>
          <w:rFonts w:hint="eastAsia" w:ascii="楷体_GB2312" w:hAnsi="宋体" w:eastAsia="楷体_GB2312"/>
          <w:sz w:val="21"/>
          <w:szCs w:val="21"/>
          <w:lang w:eastAsia="zh-CN"/>
        </w:rPr>
        <w:t xml:space="preserve"> 实施数字化制造过程的控制措施，包括信息格式、数据接口、电子签名、版本控制及运行平台等要求；</w:t>
      </w:r>
    </w:p>
    <w:p w14:paraId="5240C382">
      <w:pPr>
        <w:pStyle w:val="137"/>
        <w:widowControl w:val="0"/>
        <w:autoSpaceDE w:val="0"/>
        <w:autoSpaceDN w:val="0"/>
        <w:adjustRightInd w:val="0"/>
        <w:spacing w:before="0" w:after="0" w:line="500" w:lineRule="exact"/>
        <w:ind w:right="-105" w:firstLine="420" w:firstLineChars="20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j）获得适宜的原材料和辅助材料。生产使用的原材料、辅助材料需满足图纸、工艺规定要求；</w:t>
      </w:r>
    </w:p>
    <w:p w14:paraId="63C0F724">
      <w:pPr>
        <w:pStyle w:val="137"/>
        <w:widowControl w:val="0"/>
        <w:autoSpaceDE w:val="0"/>
        <w:autoSpaceDN w:val="0"/>
        <w:adjustRightInd w:val="0"/>
        <w:spacing w:before="0" w:after="0" w:line="500" w:lineRule="exact"/>
        <w:ind w:right="-105" w:firstLine="495" w:firstLineChars="236"/>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k）生产和服务使用的计算机软件，由研发部、研发部、品质部联合组织确认和审批，如数控加工的软件，可以采用对生产用计算机软件复核确认或由品质部通过对试加工的样件验证或首件检验进行确认，并由研发部经理批准后实施；</w:t>
      </w:r>
    </w:p>
    <w:p w14:paraId="19E33324">
      <w:pPr>
        <w:pStyle w:val="137"/>
        <w:widowControl w:val="0"/>
        <w:autoSpaceDE w:val="0"/>
        <w:autoSpaceDN w:val="0"/>
        <w:adjustRightInd w:val="0"/>
        <w:spacing w:before="0" w:after="0" w:line="500" w:lineRule="exact"/>
        <w:ind w:right="-105" w:firstLine="495" w:firstLineChars="236"/>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l）按工艺规定控制温度、湿度、清洁度、静电防护等环境条件；</w:t>
      </w:r>
    </w:p>
    <w:p w14:paraId="5CB0DADC">
      <w:pPr>
        <w:pStyle w:val="137"/>
        <w:widowControl w:val="0"/>
        <w:autoSpaceDE w:val="0"/>
        <w:autoSpaceDN w:val="0"/>
        <w:adjustRightInd w:val="0"/>
        <w:spacing w:before="0" w:after="0" w:line="500" w:lineRule="exact"/>
        <w:ind w:right="-105" w:firstLine="495" w:firstLineChars="236"/>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m）根据产品特点，通过工艺文件规定</w:t>
      </w:r>
      <w:r>
        <w:rPr>
          <w:rFonts w:hint="eastAsia" w:ascii="楷体_GB2312" w:hAnsi="宋体" w:eastAsia="楷体_GB2312" w:cs="楷体_GB2312"/>
          <w:sz w:val="21"/>
          <w:szCs w:val="21"/>
          <w:lang w:eastAsia="zh-CN"/>
        </w:rPr>
        <w:t>关于预防、探测和排除多余物的方法并得到实施；</w:t>
      </w:r>
    </w:p>
    <w:p w14:paraId="603FB67C">
      <w:pPr>
        <w:pStyle w:val="137"/>
        <w:widowControl w:val="0"/>
        <w:autoSpaceDE w:val="0"/>
        <w:autoSpaceDN w:val="0"/>
        <w:adjustRightInd w:val="0"/>
        <w:spacing w:before="0" w:after="0" w:line="500" w:lineRule="exact"/>
        <w:ind w:right="-105" w:firstLine="495" w:firstLineChars="236"/>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n）根据产品特点，使用清楚实用的方式规定技艺评定准则，如文字标准、图示、样件、色卡或样板等；</w:t>
      </w:r>
    </w:p>
    <w:p w14:paraId="73CB752C">
      <w:pPr>
        <w:pStyle w:val="137"/>
        <w:widowControl w:val="0"/>
        <w:autoSpaceDE w:val="0"/>
        <w:autoSpaceDN w:val="0"/>
        <w:adjustRightInd w:val="0"/>
        <w:spacing w:before="0" w:after="0" w:line="500" w:lineRule="exact"/>
        <w:ind w:right="-105" w:firstLine="495" w:firstLineChars="236"/>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0）对首件产品进行自检和专检，并由检验员对首件作出标记，检验员负责保留实测信息；</w:t>
      </w:r>
    </w:p>
    <w:p w14:paraId="46A486CF">
      <w:pPr>
        <w:tabs>
          <w:tab w:val="left" w:pos="3332"/>
        </w:tabs>
        <w:spacing w:line="500" w:lineRule="exact"/>
        <w:ind w:firstLine="495" w:firstLineChars="236"/>
        <w:rPr>
          <w:rFonts w:hint="eastAsia" w:ascii="楷体_GB2312" w:hAnsi="宋体" w:eastAsia="楷体_GB2312"/>
          <w:szCs w:val="21"/>
        </w:rPr>
      </w:pPr>
      <w:r>
        <w:rPr>
          <w:rFonts w:hint="eastAsia" w:ascii="楷体_GB2312" w:hAnsi="宋体" w:eastAsia="楷体_GB2312"/>
          <w:szCs w:val="21"/>
          <w:lang w:val="ru-RU"/>
        </w:rPr>
        <w:t>p)</w:t>
      </w:r>
      <w:r>
        <w:rPr>
          <w:rFonts w:hint="eastAsia" w:ascii="楷体_GB2312" w:hAnsi="宋体" w:eastAsia="楷体_GB2312"/>
          <w:szCs w:val="21"/>
        </w:rPr>
        <w:t>使用代用器材时需严格履行审批手续，确保使用的代用器材其性能要求不低于规定使用的器材要求。影响关键或重要特性的器材代用由研发部提出申请并征得顾客同意，且有书面签署。本公司为保证产品和服务质量，涉及关键或重要特性的器材不得代用。</w:t>
      </w:r>
    </w:p>
    <w:p w14:paraId="66844EBA">
      <w:pPr>
        <w:pStyle w:val="4"/>
        <w:rPr>
          <w:rFonts w:hint="eastAsia"/>
        </w:rPr>
      </w:pPr>
      <w:bookmarkStart w:id="166" w:name="_Toc536539710"/>
      <w:bookmarkStart w:id="167" w:name="_Toc1996"/>
      <w:r>
        <w:rPr>
          <w:rFonts w:hint="eastAsia"/>
        </w:rPr>
        <w:t>8.5.2 标识和可追溯性</w:t>
      </w:r>
      <w:bookmarkEnd w:id="166"/>
      <w:bookmarkEnd w:id="167"/>
    </w:p>
    <w:p w14:paraId="46FA890B">
      <w:pPr>
        <w:spacing w:line="336" w:lineRule="auto"/>
        <w:rPr>
          <w:rFonts w:hint="eastAsia" w:ascii="宋体" w:hAnsi="宋体"/>
        </w:rPr>
      </w:pPr>
      <w:r>
        <w:rPr>
          <w:rFonts w:hint="eastAsia" w:ascii="宋体" w:hAnsi="宋体"/>
        </w:rPr>
        <w:t>8.5.2.1  标识包括产品标识、产品状态标识和产品唯一性标识，由制造部部归口管理。公司制定、实施和保持</w:t>
      </w:r>
      <w:r>
        <w:rPr>
          <w:rFonts w:hint="eastAsia" w:ascii="宋体" w:hAnsi="宋体"/>
          <w:highlight w:val="yellow"/>
        </w:rPr>
        <w:t>《标识和可追溯性控制程序》</w:t>
      </w:r>
      <w:r>
        <w:rPr>
          <w:rFonts w:hint="eastAsia" w:ascii="宋体" w:hAnsi="宋体"/>
        </w:rPr>
        <w:t>，明确标识和可追溯性的控制要求。</w:t>
      </w:r>
    </w:p>
    <w:p w14:paraId="27000C51">
      <w:pPr>
        <w:spacing w:line="336" w:lineRule="auto"/>
        <w:ind w:firstLine="420" w:firstLineChars="200"/>
        <w:rPr>
          <w:rFonts w:hint="eastAsia" w:ascii="宋体" w:hAnsi="宋体"/>
        </w:rPr>
      </w:pPr>
      <w:r>
        <w:rPr>
          <w:rFonts w:hint="eastAsia" w:ascii="宋体" w:hAnsi="宋体"/>
        </w:rPr>
        <w:t>公司采用适当的方法识别输出，以确保产品和服务合格。公司在产品实现的全过程中使用适当的方法识别产品，分别对采购产品、半成品和成品利用工序流转卡、标签、标记、标牌等方式进行产品标识。</w:t>
      </w:r>
    </w:p>
    <w:p w14:paraId="6B88BC72">
      <w:pPr>
        <w:spacing w:line="336" w:lineRule="auto"/>
        <w:ind w:firstLine="420" w:firstLineChars="200"/>
        <w:rPr>
          <w:rFonts w:hint="eastAsia" w:ascii="宋体" w:hAnsi="宋体"/>
        </w:rPr>
      </w:pPr>
      <w:r>
        <w:rPr>
          <w:rFonts w:hint="eastAsia" w:ascii="宋体" w:hAnsi="宋体"/>
        </w:rPr>
        <w:t>公司在生产和服务提供的整个过程中按照监视和测量要求识别输出状态。在产品实现的全过程中，按照监视和测量要求识别产品的状态，并进行状态标识。</w:t>
      </w:r>
    </w:p>
    <w:p w14:paraId="05A3C074">
      <w:pPr>
        <w:spacing w:line="336" w:lineRule="auto"/>
        <w:ind w:firstLine="420" w:firstLineChars="200"/>
        <w:rPr>
          <w:rFonts w:hint="eastAsia" w:ascii="宋体" w:hAnsi="宋体"/>
        </w:rPr>
      </w:pPr>
      <w:r>
        <w:rPr>
          <w:rFonts w:hint="eastAsia" w:ascii="宋体" w:hAnsi="宋体"/>
        </w:rPr>
        <w:t>当有可追溯要求的场合，公司控制输出的唯一性标识，并保留所需的成文信息以实现可追溯。</w:t>
      </w:r>
    </w:p>
    <w:p w14:paraId="783F7CC2">
      <w:pPr>
        <w:spacing w:line="336" w:lineRule="auto"/>
        <w:ind w:firstLine="420" w:firstLineChars="200"/>
        <w:rPr>
          <w:rFonts w:hint="eastAsia" w:ascii="宋体" w:hAnsi="宋体"/>
        </w:rPr>
      </w:pPr>
      <w:r>
        <w:rPr>
          <w:rFonts w:hint="eastAsia" w:ascii="宋体" w:hAnsi="宋体"/>
        </w:rPr>
        <w:t>在搬运、贮存或在交付过程中，保持标识的完整无损，当发现脱落、损坏或丢失时，应及时确认并补充标识。</w:t>
      </w:r>
    </w:p>
    <w:p w14:paraId="1A338C89">
      <w:pPr>
        <w:spacing w:line="336" w:lineRule="auto"/>
        <w:ind w:firstLine="420" w:firstLineChars="200"/>
        <w:rPr>
          <w:rFonts w:hint="eastAsia" w:ascii="宋体" w:hAnsi="宋体"/>
        </w:rPr>
      </w:pPr>
      <w:r>
        <w:rPr>
          <w:rFonts w:hint="eastAsia" w:ascii="宋体" w:hAnsi="宋体"/>
        </w:rPr>
        <w:t>公司采用标识牌、标签、标记、工序流程卡、卡片、划分区域和质量记录等方式进行产品标识和产品的状态标识。</w:t>
      </w:r>
    </w:p>
    <w:p w14:paraId="7759C3FB">
      <w:pPr>
        <w:spacing w:line="336" w:lineRule="auto"/>
        <w:rPr>
          <w:rFonts w:hint="eastAsia" w:ascii="宋体" w:hAnsi="宋体"/>
        </w:rPr>
      </w:pPr>
      <w:r>
        <w:rPr>
          <w:rFonts w:hint="eastAsia" w:ascii="宋体" w:hAnsi="宋体"/>
        </w:rPr>
        <w:t>8.5.2.2  标识的实施</w:t>
      </w:r>
    </w:p>
    <w:p w14:paraId="36BA769D">
      <w:pPr>
        <w:spacing w:line="336" w:lineRule="auto"/>
        <w:ind w:firstLine="420" w:firstLineChars="200"/>
        <w:rPr>
          <w:rFonts w:hint="eastAsia" w:ascii="宋体" w:hAnsi="宋体"/>
        </w:rPr>
      </w:pPr>
      <w:r>
        <w:rPr>
          <w:rFonts w:hint="eastAsia" w:ascii="宋体" w:hAnsi="宋体"/>
        </w:rPr>
        <w:t>a) 仓库保管员负责实施并保持库存采购产品的标识和状态标识；</w:t>
      </w:r>
    </w:p>
    <w:p w14:paraId="5E8F7794">
      <w:pPr>
        <w:spacing w:line="336" w:lineRule="auto"/>
        <w:ind w:firstLine="420" w:firstLineChars="200"/>
        <w:rPr>
          <w:rFonts w:hint="eastAsia" w:ascii="宋体" w:hAnsi="宋体"/>
        </w:rPr>
      </w:pPr>
      <w:r>
        <w:rPr>
          <w:rFonts w:hint="eastAsia" w:ascii="宋体" w:hAnsi="宋体"/>
        </w:rPr>
        <w:t>b) 生产人员负责实施并保持生产过程中半成品、成品标识和状态标识；</w:t>
      </w:r>
    </w:p>
    <w:p w14:paraId="726DCAEE">
      <w:pPr>
        <w:spacing w:line="336" w:lineRule="auto"/>
        <w:ind w:firstLine="420" w:firstLineChars="200"/>
        <w:rPr>
          <w:rFonts w:hint="eastAsia" w:ascii="宋体" w:hAnsi="宋体"/>
        </w:rPr>
      </w:pPr>
      <w:r>
        <w:rPr>
          <w:rFonts w:hint="eastAsia" w:ascii="宋体" w:hAnsi="宋体"/>
        </w:rPr>
        <w:t>c)制造部负责对标识实施情况进行监督检查；</w:t>
      </w:r>
    </w:p>
    <w:p w14:paraId="7B1F53B3">
      <w:pPr>
        <w:spacing w:line="336" w:lineRule="auto"/>
        <w:rPr>
          <w:rFonts w:hint="eastAsia" w:ascii="楷体_GB2312" w:hAnsi="宋体" w:eastAsia="楷体_GB2312"/>
        </w:rPr>
      </w:pPr>
      <w:r>
        <w:rPr>
          <w:rFonts w:hint="eastAsia" w:ascii="楷体_GB2312" w:hAnsi="宋体" w:eastAsia="楷体_GB2312"/>
        </w:rPr>
        <w:t>8.5.2.3  公司实施批次管理的产品按照以下要求执行：</w:t>
      </w:r>
    </w:p>
    <w:p w14:paraId="1F068E07">
      <w:pPr>
        <w:spacing w:line="336" w:lineRule="auto"/>
        <w:ind w:firstLine="420" w:firstLineChars="200"/>
        <w:rPr>
          <w:rFonts w:hint="eastAsia" w:ascii="楷体_GB2312" w:hAnsi="宋体" w:eastAsia="楷体_GB2312"/>
        </w:rPr>
      </w:pPr>
      <w:r>
        <w:rPr>
          <w:rFonts w:hint="eastAsia" w:ascii="楷体_GB2312" w:hAnsi="宋体" w:eastAsia="楷体_GB2312"/>
        </w:rPr>
        <w:t>a）按批次建立《生产工艺流转卡》，详细记录投料、加工、装配、调试、检验、交付的数量、质量、操作者和检验者，并按规定保存；</w:t>
      </w:r>
    </w:p>
    <w:p w14:paraId="160D8723">
      <w:pPr>
        <w:spacing w:line="336" w:lineRule="auto"/>
        <w:ind w:firstLine="420" w:firstLineChars="200"/>
        <w:rPr>
          <w:rFonts w:hint="eastAsia" w:ascii="楷体_GB2312" w:hAnsi="宋体" w:eastAsia="楷体_GB2312"/>
        </w:rPr>
      </w:pPr>
      <w:r>
        <w:rPr>
          <w:rFonts w:hint="eastAsia" w:ascii="楷体_GB2312" w:hAnsi="宋体" w:eastAsia="楷体_GB2312"/>
        </w:rPr>
        <w:t>b）使产品和服务的批次标记和原始信息保持一致；</w:t>
      </w:r>
    </w:p>
    <w:p w14:paraId="664DBEE6">
      <w:pPr>
        <w:spacing w:line="336" w:lineRule="auto"/>
        <w:ind w:firstLine="420" w:firstLineChars="200"/>
        <w:rPr>
          <w:rFonts w:hint="eastAsia" w:ascii="楷体_GB2312" w:hAnsi="宋体" w:eastAsia="楷体_GB2312"/>
        </w:rPr>
      </w:pPr>
      <w:r>
        <w:rPr>
          <w:rFonts w:hint="eastAsia" w:ascii="楷体_GB2312" w:hAnsi="宋体" w:eastAsia="楷体_GB2312"/>
        </w:rPr>
        <w:t>c）能追溯产品和服务交付前的情况和交付信息。</w:t>
      </w:r>
    </w:p>
    <w:p w14:paraId="78B9A1C6">
      <w:pPr>
        <w:spacing w:line="336" w:lineRule="auto"/>
        <w:ind w:firstLine="420" w:firstLineChars="200"/>
        <w:rPr>
          <w:rFonts w:hint="eastAsia"/>
        </w:rPr>
      </w:pPr>
      <w:r>
        <w:rPr>
          <w:rFonts w:hint="eastAsia"/>
        </w:rPr>
        <w:t>需要时，制造部、仓库等场所应采用适当的方法识别输出，以确保产品和服务合格（如产品的名称、规格型号、作业者和检验者姓名等）。</w:t>
      </w:r>
    </w:p>
    <w:p w14:paraId="54BC3DD3">
      <w:pPr>
        <w:spacing w:line="336" w:lineRule="auto"/>
        <w:ind w:firstLine="420" w:firstLineChars="200"/>
        <w:rPr>
          <w:rFonts w:hint="eastAsia"/>
        </w:rPr>
      </w:pPr>
      <w:r>
        <w:rPr>
          <w:rFonts w:hint="eastAsia"/>
        </w:rPr>
        <w:t>制造部部、品质部应确保在生产和服务的全过程，识别与监视和测量要求有关程输出状态（如：合格、报废、待检等）。</w:t>
      </w:r>
    </w:p>
    <w:p w14:paraId="614B07DE">
      <w:pPr>
        <w:spacing w:line="336" w:lineRule="auto"/>
        <w:ind w:firstLine="420" w:firstLineChars="200"/>
        <w:rPr>
          <w:rFonts w:hint="eastAsia"/>
        </w:rPr>
      </w:pPr>
      <w:r>
        <w:rPr>
          <w:rFonts w:hint="eastAsia"/>
        </w:rPr>
        <w:t>当要求可追溯性时，各相关部门应控制输出的唯一性标识，并保持可追溯性所需的成文信息（如产品编号、人员姓名、日期等）。</w:t>
      </w:r>
    </w:p>
    <w:p w14:paraId="4ACB6B8B">
      <w:pPr>
        <w:pStyle w:val="4"/>
      </w:pPr>
      <w:bookmarkStart w:id="168" w:name="_Toc29363"/>
      <w:bookmarkStart w:id="169" w:name="_Toc536539711"/>
      <w:r>
        <w:rPr>
          <w:rFonts w:hint="eastAsia"/>
        </w:rPr>
        <w:t>8.5.3 顾客或外部供方的财产</w:t>
      </w:r>
      <w:bookmarkEnd w:id="168"/>
      <w:bookmarkEnd w:id="169"/>
    </w:p>
    <w:p w14:paraId="7C61680B">
      <w:pPr>
        <w:spacing w:line="336" w:lineRule="auto"/>
        <w:ind w:firstLine="420" w:firstLineChars="200"/>
        <w:rPr>
          <w:rFonts w:hint="eastAsia"/>
        </w:rPr>
      </w:pPr>
      <w:r>
        <w:rPr>
          <w:rFonts w:hint="eastAsia"/>
        </w:rPr>
        <w:t>各部门在控制或使用顾客或外部供方的财产期间，应爱护并对其进行妥善管理。</w:t>
      </w:r>
    </w:p>
    <w:p w14:paraId="0524F1A4">
      <w:pPr>
        <w:spacing w:line="336" w:lineRule="auto"/>
        <w:ind w:firstLine="420" w:firstLineChars="200"/>
      </w:pPr>
      <w:r>
        <w:rPr>
          <w:rFonts w:hint="eastAsia" w:ascii="宋体" w:hAnsi="Arial" w:cs="宋体"/>
          <w:kern w:val="0"/>
          <w:szCs w:val="21"/>
        </w:rPr>
        <w:t>对公司使用的或构成产品和服务一部分的顾客和外部供方财产，应予以识别、验证、保护和防护，</w:t>
      </w:r>
      <w:r>
        <w:rPr>
          <w:rFonts w:hint="eastAsia"/>
        </w:rPr>
        <w:t>本公司使用的顾客或供方财产有：样品、图纸等技术资料、材料及零部件、设备和工具等。</w:t>
      </w:r>
    </w:p>
    <w:p w14:paraId="3CE5144F">
      <w:pPr>
        <w:spacing w:line="336" w:lineRule="auto"/>
        <w:ind w:firstLine="420" w:firstLineChars="200"/>
        <w:rPr>
          <w:rFonts w:hint="eastAsia"/>
        </w:rPr>
      </w:pPr>
      <w:r>
        <w:rPr>
          <w:rFonts w:hint="eastAsia"/>
        </w:rPr>
        <w:t>当顾客或外部供方财产发生不正确使用、丢失、损坏或引起其他不适用的情况时，各部门应按照职责向顾客或外部供方报告，并保留相关的成文信息。</w:t>
      </w:r>
    </w:p>
    <w:p w14:paraId="1E0B3736">
      <w:pPr>
        <w:spacing w:line="336" w:lineRule="auto"/>
        <w:ind w:firstLine="420" w:firstLineChars="200"/>
        <w:rPr>
          <w:rFonts w:hint="eastAsia" w:ascii="楷体" w:hAnsi="楷体" w:eastAsia="楷体" w:cs="楷体"/>
        </w:rPr>
      </w:pPr>
      <w:r>
        <w:rPr>
          <w:rFonts w:hint="eastAsia" w:ascii="楷体" w:hAnsi="楷体" w:eastAsia="楷体" w:cs="楷体"/>
        </w:rPr>
        <w:t>注：顾客财产可包括图样、材料、零部件、工具和设备、顾客的场所，知识产权和个人信息。</w:t>
      </w:r>
    </w:p>
    <w:p w14:paraId="0773FCE0">
      <w:pPr>
        <w:pStyle w:val="4"/>
        <w:rPr>
          <w:rFonts w:hint="eastAsia"/>
        </w:rPr>
      </w:pPr>
      <w:bookmarkStart w:id="170" w:name="_Toc20166"/>
      <w:bookmarkStart w:id="171" w:name="_Toc536539712"/>
      <w:r>
        <w:rPr>
          <w:rFonts w:hint="eastAsia"/>
        </w:rPr>
        <w:t>8.5.4 防护</w:t>
      </w:r>
      <w:bookmarkEnd w:id="170"/>
      <w:bookmarkEnd w:id="171"/>
    </w:p>
    <w:p w14:paraId="0BD0A148">
      <w:pPr>
        <w:spacing w:line="360" w:lineRule="auto"/>
        <w:ind w:firstLine="420" w:firstLineChars="200"/>
        <w:rPr>
          <w:rFonts w:hint="eastAsia"/>
        </w:rPr>
      </w:pPr>
      <w:r>
        <w:rPr>
          <w:rFonts w:hint="eastAsia"/>
        </w:rPr>
        <w:t>公司制定、实施和保持</w:t>
      </w:r>
      <w:r>
        <w:rPr>
          <w:rFonts w:hint="eastAsia"/>
          <w:highlight w:val="yellow"/>
        </w:rPr>
        <w:t>《</w:t>
      </w:r>
      <w:r>
        <w:rPr>
          <w:rFonts w:hint="eastAsia"/>
          <w:sz w:val="24"/>
          <w:highlight w:val="yellow"/>
        </w:rPr>
        <w:t>产品防护过程控制程序</w:t>
      </w:r>
      <w:r>
        <w:rPr>
          <w:rFonts w:hint="eastAsia"/>
          <w:highlight w:val="yellow"/>
        </w:rPr>
        <w:t>》</w:t>
      </w:r>
      <w:r>
        <w:rPr>
          <w:rFonts w:hint="eastAsia"/>
        </w:rPr>
        <w:t>，以明确公司各阶段产品防护的职责、要求和具体方法。</w:t>
      </w:r>
    </w:p>
    <w:p w14:paraId="6D0A41F3">
      <w:pPr>
        <w:ind w:firstLine="525" w:firstLineChars="250"/>
        <w:rPr>
          <w:rFonts w:hint="eastAsia" w:ascii="宋体" w:hAnsi="宋体"/>
          <w:bCs/>
          <w:lang w:val="ru-RU"/>
        </w:rPr>
      </w:pPr>
      <w:r>
        <w:rPr>
          <w:rFonts w:hint="eastAsia" w:ascii="宋体" w:hAnsi="宋体"/>
          <w:bCs/>
          <w:lang w:val="ru-RU"/>
        </w:rPr>
        <w:t>公司在产品</w:t>
      </w:r>
      <w:r>
        <w:rPr>
          <w:rFonts w:hint="eastAsia" w:ascii="宋体" w:hAnsi="宋体"/>
          <w:lang w:val="ru-RU"/>
        </w:rPr>
        <w:t>生产和服务提供</w:t>
      </w:r>
      <w:r>
        <w:rPr>
          <w:rFonts w:hint="eastAsia" w:ascii="宋体" w:hAnsi="宋体"/>
          <w:bCs/>
          <w:lang w:val="ru-RU"/>
        </w:rPr>
        <w:t>期间，对产品及其组成部分提供防护，防止产品和服务在顾客接收前损坏、污染变质，以确保产品和服务符合要求。</w:t>
      </w:r>
      <w:r>
        <w:rPr>
          <w:rFonts w:hint="eastAsia" w:ascii="宋体" w:hAnsi="宋体"/>
          <w:lang w:val="ru-RU"/>
        </w:rPr>
        <w:t>防护可包括标识、处置、污染控制、包装、储存、传输或运输以及保护，</w:t>
      </w:r>
      <w:r>
        <w:rPr>
          <w:rFonts w:hint="eastAsia" w:ascii="宋体" w:hAnsi="宋体"/>
          <w:bCs/>
          <w:lang w:val="ru-RU"/>
        </w:rPr>
        <w:t>产品和服务防护由研发部归口管理。并做到：</w:t>
      </w:r>
    </w:p>
    <w:p w14:paraId="36A8EA10">
      <w:pPr>
        <w:ind w:firstLine="420" w:firstLineChars="200"/>
        <w:rPr>
          <w:rFonts w:hint="eastAsia" w:ascii="宋体" w:hAnsi="宋体"/>
          <w:bCs/>
        </w:rPr>
      </w:pPr>
      <w:r>
        <w:rPr>
          <w:rFonts w:hint="eastAsia" w:ascii="宋体" w:hAnsi="宋体"/>
          <w:bCs/>
        </w:rPr>
        <w:t>a)标识：制造部和营销部负责在产品生产、传输、运输、搬运、发货、送货过程中保护好有关产品防护（包括安全警示）的标识，如提示防碰撞、防雨淋等；</w:t>
      </w:r>
    </w:p>
    <w:p w14:paraId="5B879CFE">
      <w:pPr>
        <w:ind w:firstLine="420" w:firstLineChars="200"/>
        <w:rPr>
          <w:rFonts w:hint="eastAsia" w:ascii="宋体" w:hAnsi="宋体"/>
          <w:bCs/>
        </w:rPr>
      </w:pPr>
      <w:r>
        <w:rPr>
          <w:rFonts w:hint="eastAsia" w:ascii="宋体" w:hAnsi="宋体"/>
          <w:bCs/>
        </w:rPr>
        <w:t>b)处置：产品和服务提供时，制造部根据产品和服务特性规定处置方式、方法，并按规定要求实施处置；</w:t>
      </w:r>
    </w:p>
    <w:p w14:paraId="3D58EA09">
      <w:pPr>
        <w:ind w:firstLine="420" w:firstLineChars="200"/>
        <w:rPr>
          <w:rFonts w:hint="eastAsia" w:ascii="宋体" w:hAnsi="宋体"/>
          <w:bCs/>
        </w:rPr>
      </w:pPr>
      <w:r>
        <w:rPr>
          <w:rFonts w:hint="eastAsia" w:ascii="宋体" w:hAnsi="宋体"/>
          <w:bCs/>
        </w:rPr>
        <w:t>c)污染控制：根据产品特性，由研发部负责规定防止污染的措施并由制造部实施、研发部监督现场防污染措施的实施效果；</w:t>
      </w:r>
    </w:p>
    <w:p w14:paraId="1423A114">
      <w:pPr>
        <w:ind w:firstLine="420" w:firstLineChars="200"/>
        <w:rPr>
          <w:rFonts w:hint="eastAsia" w:ascii="宋体" w:hAnsi="宋体"/>
          <w:bCs/>
        </w:rPr>
      </w:pPr>
      <w:r>
        <w:rPr>
          <w:rFonts w:hint="eastAsia" w:ascii="宋体" w:hAnsi="宋体"/>
          <w:bCs/>
        </w:rPr>
        <w:t>d)包装：</w:t>
      </w:r>
    </w:p>
    <w:p w14:paraId="49E1696D">
      <w:pPr>
        <w:ind w:firstLine="630" w:firstLineChars="300"/>
        <w:rPr>
          <w:rFonts w:hint="eastAsia" w:ascii="宋体" w:hAnsi="宋体"/>
          <w:bCs/>
        </w:rPr>
      </w:pPr>
      <w:r>
        <w:rPr>
          <w:rFonts w:hint="eastAsia" w:ascii="宋体" w:hAnsi="宋体"/>
          <w:bCs/>
        </w:rPr>
        <w:t>1)原材料、半成品和成品在运输前应按规定对产品进行包装、固定。</w:t>
      </w:r>
    </w:p>
    <w:p w14:paraId="291FA379">
      <w:pPr>
        <w:ind w:firstLine="630" w:firstLineChars="300"/>
        <w:rPr>
          <w:rFonts w:hint="eastAsia" w:ascii="宋体" w:hAnsi="宋体"/>
          <w:bCs/>
        </w:rPr>
      </w:pPr>
      <w:r>
        <w:rPr>
          <w:rFonts w:hint="eastAsia" w:ascii="宋体" w:hAnsi="宋体"/>
          <w:bCs/>
        </w:rPr>
        <w:t>2)在运输时应做到小心谨慎，轻拿轻放，防止产品磕碰损坏或变质，确保安全无事故。</w:t>
      </w:r>
    </w:p>
    <w:p w14:paraId="4CF6AAC4">
      <w:pPr>
        <w:ind w:firstLine="420" w:firstLineChars="200"/>
        <w:rPr>
          <w:rFonts w:hint="eastAsia" w:ascii="宋体" w:hAnsi="宋体"/>
          <w:bCs/>
        </w:rPr>
      </w:pPr>
      <w:r>
        <w:rPr>
          <w:rFonts w:hint="eastAsia" w:ascii="宋体" w:hAnsi="宋体"/>
          <w:bCs/>
        </w:rPr>
        <w:t>e) 储存：</w:t>
      </w:r>
    </w:p>
    <w:p w14:paraId="6384F520">
      <w:pPr>
        <w:ind w:firstLine="630" w:firstLineChars="300"/>
        <w:rPr>
          <w:rFonts w:hint="eastAsia" w:ascii="宋体" w:hAnsi="宋体"/>
          <w:bCs/>
        </w:rPr>
      </w:pPr>
      <w:r>
        <w:rPr>
          <w:rFonts w:hint="eastAsia" w:ascii="宋体" w:hAnsi="宋体"/>
          <w:bCs/>
        </w:rPr>
        <w:t>1)产品应储存在专用仓库或场地，贮存环境应干净、整洁、通风、干燥，满足产品存放的要求，并按仓库管理规定贮存、码放和标识。</w:t>
      </w:r>
    </w:p>
    <w:p w14:paraId="58B5765E">
      <w:pPr>
        <w:ind w:firstLine="630" w:firstLineChars="300"/>
        <w:rPr>
          <w:rFonts w:hint="eastAsia" w:ascii="宋体" w:hAnsi="宋体"/>
          <w:bCs/>
        </w:rPr>
      </w:pPr>
      <w:r>
        <w:rPr>
          <w:rFonts w:hint="eastAsia" w:ascii="宋体" w:hAnsi="宋体"/>
          <w:bCs/>
        </w:rPr>
        <w:t>2)仓库保管员按仓库管理规定，负责对库存产品进行管理和维护，执行出入库手续，做到账、物、卡相符，发现问题及时报告。</w:t>
      </w:r>
    </w:p>
    <w:p w14:paraId="718042F0">
      <w:pPr>
        <w:ind w:firstLine="630" w:firstLineChars="300"/>
        <w:rPr>
          <w:rFonts w:hint="eastAsia" w:ascii="宋体" w:hAnsi="宋体"/>
          <w:bCs/>
        </w:rPr>
      </w:pPr>
      <w:r>
        <w:rPr>
          <w:rFonts w:hint="eastAsia" w:ascii="宋体" w:hAnsi="宋体"/>
          <w:bCs/>
        </w:rPr>
        <w:t>3）对储存期有有效期要求的产品，研发部规定有效期，仓库保管员定期盘库，防止过期或失效产品的发放和使用。</w:t>
      </w:r>
    </w:p>
    <w:p w14:paraId="50F3E334">
      <w:pPr>
        <w:ind w:firstLine="420" w:firstLineChars="200"/>
        <w:rPr>
          <w:rFonts w:hint="eastAsia" w:ascii="宋体" w:hAnsi="宋体"/>
          <w:bCs/>
        </w:rPr>
      </w:pPr>
      <w:r>
        <w:rPr>
          <w:rFonts w:hint="eastAsia" w:ascii="宋体" w:hAnsi="宋体"/>
          <w:bCs/>
        </w:rPr>
        <w:t>f)传输：当输出为数据和信息时，须采取措施，防止数据和信息在传输过程中失窃、失密或损坏。如可采取的物理的和技术性安全防护手段等。</w:t>
      </w:r>
    </w:p>
    <w:p w14:paraId="3896E10C">
      <w:pPr>
        <w:ind w:firstLine="420" w:firstLineChars="200"/>
        <w:rPr>
          <w:rFonts w:hint="eastAsia" w:ascii="宋体" w:hAnsi="宋体"/>
          <w:bCs/>
        </w:rPr>
      </w:pPr>
      <w:r>
        <w:rPr>
          <w:rFonts w:hint="eastAsia" w:ascii="宋体" w:hAnsi="宋体"/>
          <w:bCs/>
        </w:rPr>
        <w:t>g)运输：产品搬运过程或运输时，应选用合适的搬运工具，注意运输安全，防止产品磕碰损坏，并保护好产品标识。</w:t>
      </w:r>
    </w:p>
    <w:p w14:paraId="237196F5">
      <w:pPr>
        <w:ind w:firstLine="420" w:firstLineChars="200"/>
        <w:rPr>
          <w:rFonts w:hint="eastAsia" w:ascii="宋体" w:hAnsi="宋体"/>
          <w:bCs/>
        </w:rPr>
      </w:pPr>
      <w:r>
        <w:rPr>
          <w:rFonts w:hint="eastAsia" w:ascii="宋体" w:hAnsi="宋体"/>
          <w:bCs/>
        </w:rPr>
        <w:t>h)保护：</w:t>
      </w:r>
    </w:p>
    <w:p w14:paraId="41D1736E">
      <w:pPr>
        <w:ind w:firstLine="630" w:firstLineChars="300"/>
        <w:rPr>
          <w:rFonts w:hint="eastAsia" w:ascii="宋体" w:hAnsi="宋体"/>
          <w:bCs/>
        </w:rPr>
      </w:pPr>
      <w:r>
        <w:rPr>
          <w:rFonts w:hint="eastAsia" w:ascii="宋体" w:hAnsi="宋体"/>
          <w:bCs/>
        </w:rPr>
        <w:t>1)制造部负责对产品采取适当的防护措施。如防潮、防震、防锈、防静电等措施，直至定期保养维护，保证产品不丢失、不错乱、不损坏、不失效等。</w:t>
      </w:r>
    </w:p>
    <w:p w14:paraId="22C23F01">
      <w:pPr>
        <w:ind w:firstLine="630" w:firstLineChars="300"/>
        <w:rPr>
          <w:rFonts w:hint="eastAsia" w:ascii="宋体" w:hAnsi="宋体"/>
          <w:bCs/>
        </w:rPr>
      </w:pPr>
      <w:r>
        <w:rPr>
          <w:rFonts w:hint="eastAsia" w:ascii="宋体" w:hAnsi="宋体"/>
          <w:bCs/>
        </w:rPr>
        <w:t>2)产品因保护不当受到损坏时，按</w:t>
      </w:r>
      <w:bookmarkStart w:id="172" w:name="OLE_LINK19"/>
      <w:bookmarkStart w:id="173" w:name="OLE_LINK20"/>
      <w:r>
        <w:rPr>
          <w:rFonts w:hint="eastAsia" w:ascii="宋体" w:hAnsi="宋体"/>
          <w:bCs/>
          <w:highlight w:val="yellow"/>
        </w:rPr>
        <w:t>《不合格品控制程序》</w:t>
      </w:r>
      <w:bookmarkEnd w:id="172"/>
      <w:bookmarkEnd w:id="173"/>
      <w:r>
        <w:rPr>
          <w:rFonts w:hint="eastAsia" w:ascii="宋体" w:hAnsi="宋体"/>
          <w:bCs/>
        </w:rPr>
        <w:t>处理，产品防护一直要延续到向顾客交付地点为止。</w:t>
      </w:r>
    </w:p>
    <w:p w14:paraId="07D84D21">
      <w:pPr>
        <w:spacing w:line="360" w:lineRule="auto"/>
        <w:ind w:firstLine="420" w:firstLineChars="200"/>
        <w:rPr>
          <w:rFonts w:hint="eastAsia"/>
        </w:rPr>
      </w:pPr>
      <w:r>
        <w:rPr>
          <w:rFonts w:hint="eastAsia"/>
        </w:rPr>
        <w:t>公司应确保在生产和服务提供期间对输出提供防护，以确保符合要求。</w:t>
      </w:r>
    </w:p>
    <w:p w14:paraId="2477BE0B">
      <w:pPr>
        <w:spacing w:line="360" w:lineRule="auto"/>
        <w:ind w:firstLine="420" w:firstLineChars="200"/>
        <w:rPr>
          <w:rFonts w:hint="eastAsia" w:ascii="楷体" w:hAnsi="楷体" w:eastAsia="楷体" w:cs="楷体"/>
        </w:rPr>
      </w:pPr>
      <w:r>
        <w:rPr>
          <w:rFonts w:hint="eastAsia" w:ascii="楷体" w:hAnsi="楷体" w:eastAsia="楷体" w:cs="楷体"/>
        </w:rPr>
        <w:t xml:space="preserve">注：防护可以包括标识、处置、污染控制、包装、储存、传送或运输以及保护。 </w:t>
      </w:r>
    </w:p>
    <w:p w14:paraId="6D319C45">
      <w:pPr>
        <w:pStyle w:val="4"/>
      </w:pPr>
      <w:bookmarkStart w:id="174" w:name="_Toc536539713"/>
      <w:bookmarkStart w:id="175" w:name="_Toc13796"/>
      <w:r>
        <w:rPr>
          <w:rFonts w:hint="eastAsia"/>
        </w:rPr>
        <w:t>8.5.5 交付后的活动</w:t>
      </w:r>
      <w:bookmarkEnd w:id="174"/>
      <w:bookmarkEnd w:id="175"/>
    </w:p>
    <w:p w14:paraId="3BA8DAD4">
      <w:pPr>
        <w:autoSpaceDE w:val="0"/>
        <w:autoSpaceDN w:val="0"/>
        <w:spacing w:line="500" w:lineRule="exact"/>
        <w:ind w:firstLine="420" w:firstLineChars="200"/>
        <w:jc w:val="left"/>
        <w:rPr>
          <w:rFonts w:hint="eastAsia" w:ascii="宋体" w:hAnsi="宋体"/>
          <w:kern w:val="0"/>
          <w:szCs w:val="21"/>
        </w:rPr>
      </w:pPr>
      <w:r>
        <w:rPr>
          <w:rFonts w:hint="eastAsia" w:ascii="宋体" w:hAnsi="宋体"/>
          <w:szCs w:val="21"/>
        </w:rPr>
        <w:t>营销部根据合同、技术协议或顾客反馈信息，确定、实施</w:t>
      </w:r>
      <w:r>
        <w:rPr>
          <w:rFonts w:hint="eastAsia" w:ascii="宋体" w:hAnsi="宋体"/>
          <w:kern w:val="0"/>
          <w:szCs w:val="21"/>
        </w:rPr>
        <w:t>保证条款所规定的措施、合同义务（如维护服务等）、附加服务（如回收或最终处置等）、</w:t>
      </w:r>
      <w:r>
        <w:rPr>
          <w:rFonts w:hint="eastAsia" w:ascii="楷体_GB2312" w:hAnsi="宋体" w:eastAsia="楷体_GB2312"/>
          <w:szCs w:val="21"/>
        </w:rPr>
        <w:t>现场技术培训、质量问题处理、质量信息收集与处理工作等</w:t>
      </w:r>
      <w:r>
        <w:rPr>
          <w:rFonts w:hint="eastAsia" w:ascii="宋体" w:hAnsi="宋体"/>
          <w:szCs w:val="21"/>
        </w:rPr>
        <w:t>交付后活动，以</w:t>
      </w:r>
      <w:r>
        <w:rPr>
          <w:rFonts w:hint="eastAsia" w:ascii="宋体" w:hAnsi="宋体"/>
          <w:kern w:val="0"/>
          <w:szCs w:val="21"/>
        </w:rPr>
        <w:t>满足与产品和服务相关的交付后活动的要求。</w:t>
      </w:r>
    </w:p>
    <w:p w14:paraId="1356D3FC">
      <w:pPr>
        <w:autoSpaceDE w:val="0"/>
        <w:autoSpaceDN w:val="0"/>
        <w:spacing w:line="500" w:lineRule="exact"/>
        <w:ind w:firstLine="420" w:firstLineChars="200"/>
        <w:jc w:val="left"/>
        <w:rPr>
          <w:rFonts w:hint="eastAsia" w:ascii="宋体" w:hAnsi="宋体"/>
          <w:kern w:val="0"/>
          <w:szCs w:val="21"/>
        </w:rPr>
      </w:pPr>
      <w:r>
        <w:rPr>
          <w:rFonts w:hint="eastAsia" w:ascii="宋体" w:hAnsi="宋体"/>
          <w:kern w:val="0"/>
          <w:szCs w:val="21"/>
        </w:rPr>
        <w:t>在确定所要求的交付后活动的覆盖范围和程度时，需考虑：</w:t>
      </w:r>
    </w:p>
    <w:p w14:paraId="1D57E5F2">
      <w:pPr>
        <w:autoSpaceDE w:val="0"/>
        <w:autoSpaceDN w:val="0"/>
        <w:spacing w:line="500" w:lineRule="exact"/>
        <w:ind w:firstLine="420" w:firstLineChars="200"/>
        <w:jc w:val="left"/>
        <w:rPr>
          <w:rFonts w:hint="eastAsia" w:ascii="宋体" w:hAnsi="宋体"/>
          <w:kern w:val="0"/>
          <w:szCs w:val="21"/>
        </w:rPr>
      </w:pPr>
      <w:r>
        <w:rPr>
          <w:rFonts w:hint="eastAsia" w:ascii="宋体" w:hAnsi="宋体"/>
          <w:kern w:val="0"/>
          <w:szCs w:val="21"/>
        </w:rPr>
        <w:t>a)法律法规要求。交付后活动与国防法、国家产品质量法、武器装备质量管理条例等国家法律法规涉及的相关要求；</w:t>
      </w:r>
    </w:p>
    <w:p w14:paraId="73E157C7">
      <w:pPr>
        <w:autoSpaceDE w:val="0"/>
        <w:autoSpaceDN w:val="0"/>
        <w:spacing w:line="500" w:lineRule="exact"/>
        <w:ind w:firstLine="420" w:firstLineChars="200"/>
        <w:jc w:val="left"/>
        <w:rPr>
          <w:rFonts w:hint="eastAsia" w:ascii="宋体" w:hAnsi="宋体"/>
          <w:kern w:val="0"/>
          <w:szCs w:val="21"/>
        </w:rPr>
      </w:pPr>
      <w:r>
        <w:rPr>
          <w:rFonts w:hint="eastAsia" w:ascii="宋体" w:hAnsi="宋体"/>
          <w:kern w:val="0"/>
          <w:szCs w:val="21"/>
        </w:rPr>
        <w:t>b)与产品和服务相关的潜在不良的后果；为避免或降低潜在的不良后果所采取的向顾客提供交互式用户资料手册、产品使用维护说明书、提醒与警示标志、故障预防与排除手册、需要定期更换的备品备件、专用工具、远程技术支持等；</w:t>
      </w:r>
    </w:p>
    <w:p w14:paraId="01B0EE03">
      <w:pPr>
        <w:autoSpaceDE w:val="0"/>
        <w:autoSpaceDN w:val="0"/>
        <w:spacing w:line="500" w:lineRule="exact"/>
        <w:ind w:firstLine="420" w:firstLineChars="200"/>
        <w:jc w:val="left"/>
        <w:rPr>
          <w:rFonts w:hint="eastAsia" w:ascii="宋体" w:hAnsi="宋体"/>
          <w:kern w:val="0"/>
          <w:szCs w:val="21"/>
        </w:rPr>
      </w:pPr>
      <w:r>
        <w:rPr>
          <w:rFonts w:hint="eastAsia" w:ascii="宋体" w:hAnsi="宋体"/>
          <w:kern w:val="0"/>
          <w:szCs w:val="21"/>
        </w:rPr>
        <w:t>c)产品和服务的性质、使用和预期寿命。在产品合格证或履历本中明示产品寿命或可靠性指标、规定使用条件等；</w:t>
      </w:r>
    </w:p>
    <w:p w14:paraId="0DA3B630">
      <w:pPr>
        <w:autoSpaceDE w:val="0"/>
        <w:autoSpaceDN w:val="0"/>
        <w:spacing w:line="500" w:lineRule="exact"/>
        <w:ind w:firstLine="420" w:firstLineChars="200"/>
        <w:jc w:val="left"/>
        <w:rPr>
          <w:rFonts w:hint="eastAsia" w:ascii="宋体" w:hAnsi="宋体"/>
          <w:kern w:val="0"/>
          <w:szCs w:val="21"/>
        </w:rPr>
      </w:pPr>
      <w:r>
        <w:rPr>
          <w:rFonts w:hint="eastAsia" w:ascii="宋体" w:hAnsi="宋体"/>
          <w:kern w:val="0"/>
          <w:szCs w:val="21"/>
        </w:rPr>
        <w:t>d)顾客要求。包括明示的和隐含的要求，以及实现顾客要求的途径与措施等。如重大军事活动、军演、应对突发战争等顾客提出的交付后活动的要求；</w:t>
      </w:r>
    </w:p>
    <w:p w14:paraId="3B5AAEFA">
      <w:pPr>
        <w:autoSpaceDE w:val="0"/>
        <w:autoSpaceDN w:val="0"/>
        <w:spacing w:line="500" w:lineRule="exact"/>
        <w:ind w:firstLine="420" w:firstLineChars="200"/>
        <w:jc w:val="left"/>
        <w:rPr>
          <w:rFonts w:hint="eastAsia" w:ascii="宋体" w:hAnsi="宋体"/>
          <w:kern w:val="0"/>
          <w:szCs w:val="21"/>
        </w:rPr>
      </w:pPr>
      <w:r>
        <w:rPr>
          <w:rFonts w:hint="eastAsia" w:ascii="宋体" w:hAnsi="宋体"/>
          <w:kern w:val="0"/>
          <w:szCs w:val="21"/>
        </w:rPr>
        <w:t>e)顾客反馈。及时收集、处理、回复顾客反馈意见和信息以及处理结果；</w:t>
      </w:r>
    </w:p>
    <w:p w14:paraId="02B5B652">
      <w:pPr>
        <w:spacing w:line="500" w:lineRule="exact"/>
        <w:ind w:firstLine="420" w:firstLineChars="200"/>
        <w:rPr>
          <w:rFonts w:hint="eastAsia" w:ascii="楷体_GB2312" w:hAnsi="宋体" w:eastAsia="楷体_GB2312"/>
          <w:szCs w:val="21"/>
        </w:rPr>
      </w:pPr>
      <w:r>
        <w:rPr>
          <w:rFonts w:hint="eastAsia" w:ascii="楷体_GB2312" w:hAnsi="宋体" w:eastAsia="楷体_GB2312"/>
          <w:szCs w:val="21"/>
        </w:rPr>
        <w:t>f)对交付后活动采取以下控制措施：</w:t>
      </w:r>
    </w:p>
    <w:p w14:paraId="46459525">
      <w:pPr>
        <w:spacing w:line="500" w:lineRule="exact"/>
        <w:ind w:firstLine="630" w:firstLineChars="300"/>
        <w:rPr>
          <w:rFonts w:hint="eastAsia" w:ascii="楷体_GB2312" w:hAnsi="宋体" w:eastAsia="楷体_GB2312"/>
          <w:szCs w:val="21"/>
        </w:rPr>
      </w:pPr>
      <w:r>
        <w:rPr>
          <w:rFonts w:hint="eastAsia" w:ascii="楷体_GB2312" w:hAnsi="宋体" w:eastAsia="楷体_GB2312"/>
          <w:szCs w:val="21"/>
        </w:rPr>
        <w:t>1）按规定完成产品使用和维修的技术培训。</w:t>
      </w:r>
    </w:p>
    <w:p w14:paraId="44832E76">
      <w:pPr>
        <w:spacing w:line="500" w:lineRule="exact"/>
        <w:ind w:firstLine="630" w:firstLineChars="300"/>
        <w:rPr>
          <w:rFonts w:hint="eastAsia" w:ascii="楷体_GB2312" w:hAnsi="宋体" w:eastAsia="楷体_GB2312"/>
          <w:szCs w:val="21"/>
        </w:rPr>
      </w:pPr>
      <w:r>
        <w:rPr>
          <w:rFonts w:hint="eastAsia" w:ascii="楷体_GB2312" w:hAnsi="宋体" w:eastAsia="楷体_GB2312"/>
          <w:szCs w:val="21"/>
        </w:rPr>
        <w:t>2）确保与产品使用和维护相关的技术文件得到控制和更新。</w:t>
      </w:r>
    </w:p>
    <w:p w14:paraId="2D725351">
      <w:pPr>
        <w:spacing w:line="500" w:lineRule="exact"/>
        <w:ind w:firstLine="630" w:firstLineChars="300"/>
        <w:rPr>
          <w:rFonts w:hint="eastAsia" w:ascii="楷体_GB2312" w:hAnsi="宋体" w:eastAsia="楷体_GB2312"/>
          <w:szCs w:val="21"/>
        </w:rPr>
      </w:pPr>
      <w:r>
        <w:rPr>
          <w:rFonts w:hint="eastAsia" w:ascii="楷体_GB2312" w:hAnsi="宋体" w:eastAsia="楷体_GB2312"/>
          <w:szCs w:val="21"/>
        </w:rPr>
        <w:t>3）确保提供技术支持和资源，委派技术服务人员到现场服务。</w:t>
      </w:r>
    </w:p>
    <w:p w14:paraId="2BE3714C">
      <w:pPr>
        <w:spacing w:line="500" w:lineRule="exact"/>
        <w:ind w:firstLine="630" w:firstLineChars="300"/>
        <w:rPr>
          <w:rFonts w:hint="eastAsia" w:ascii="楷体_GB2312" w:hAnsi="宋体" w:eastAsia="楷体_GB2312"/>
          <w:szCs w:val="21"/>
        </w:rPr>
      </w:pPr>
      <w:r>
        <w:rPr>
          <w:rFonts w:hint="eastAsia" w:ascii="楷体_GB2312" w:hAnsi="宋体" w:eastAsia="楷体_GB2312"/>
          <w:szCs w:val="21"/>
        </w:rPr>
        <w:t>4）收集和分析产品使用和服务中的信息，每年制定顾客回访服务计划，采取走访、座谈、信访或电话等方式征求顾客对产品质量和服务的意见和要求。</w:t>
      </w:r>
    </w:p>
    <w:p w14:paraId="5B68B253">
      <w:pPr>
        <w:spacing w:line="500" w:lineRule="exact"/>
        <w:ind w:firstLine="630" w:firstLineChars="300"/>
        <w:rPr>
          <w:rFonts w:hint="eastAsia" w:ascii="楷体_GB2312" w:hAnsi="宋体" w:eastAsia="楷体_GB2312"/>
          <w:szCs w:val="21"/>
        </w:rPr>
      </w:pPr>
      <w:r>
        <w:rPr>
          <w:rFonts w:hint="eastAsia" w:ascii="楷体_GB2312" w:hAnsi="宋体" w:eastAsia="楷体_GB2312"/>
          <w:szCs w:val="21"/>
        </w:rPr>
        <w:t>5)交付后发现问题时，采取适宜的调查、处理和报告等措施，并验证其有效性。</w:t>
      </w:r>
    </w:p>
    <w:p w14:paraId="02A9ACB5">
      <w:pPr>
        <w:spacing w:line="336" w:lineRule="auto"/>
        <w:ind w:firstLine="420" w:firstLineChars="200"/>
        <w:rPr>
          <w:rFonts w:hint="eastAsia" w:ascii="楷体" w:hAnsi="楷体" w:eastAsia="楷体" w:cs="楷体"/>
        </w:rPr>
      </w:pPr>
      <w:r>
        <w:rPr>
          <w:rFonts w:hint="eastAsia" w:ascii="楷体" w:hAnsi="楷体" w:eastAsia="楷体" w:cs="楷体"/>
        </w:rPr>
        <w:t>注：交付后活动可包括担保条款所规定的相关活动、诸如合同规定的维护服务，以及回收或最终报废处置等附加服务等。</w:t>
      </w:r>
    </w:p>
    <w:p w14:paraId="271B6044">
      <w:pPr>
        <w:spacing w:line="336" w:lineRule="auto"/>
        <w:ind w:firstLine="420" w:firstLineChars="200"/>
        <w:rPr>
          <w:rFonts w:hint="eastAsia"/>
        </w:rPr>
      </w:pPr>
      <w:r>
        <w:rPr>
          <w:rFonts w:hint="eastAsia"/>
        </w:rPr>
        <w:t>营销部负责组织建立、实施和保持</w:t>
      </w:r>
      <w:r>
        <w:rPr>
          <w:rFonts w:hint="eastAsia"/>
          <w:highlight w:val="yellow"/>
        </w:rPr>
        <w:t>《产品交付后活动控制程序》</w:t>
      </w:r>
      <w:r>
        <w:rPr>
          <w:rFonts w:hint="eastAsia"/>
        </w:rPr>
        <w:t>，以明确公司产品售后服务活动实施的职责、内容和流程等具体要求。</w:t>
      </w:r>
    </w:p>
    <w:p w14:paraId="6741B861">
      <w:pPr>
        <w:pStyle w:val="4"/>
      </w:pPr>
      <w:bookmarkStart w:id="176" w:name="_Toc536539714"/>
      <w:bookmarkStart w:id="177" w:name="_Toc22903"/>
      <w:r>
        <w:rPr>
          <w:rFonts w:hint="eastAsia"/>
        </w:rPr>
        <w:t>8.5.6 更改控制</w:t>
      </w:r>
      <w:bookmarkEnd w:id="176"/>
      <w:bookmarkEnd w:id="177"/>
    </w:p>
    <w:p w14:paraId="140EE962">
      <w:pPr>
        <w:spacing w:line="360" w:lineRule="auto"/>
        <w:ind w:firstLine="420" w:firstLineChars="200"/>
      </w:pPr>
      <w:r>
        <w:rPr>
          <w:rFonts w:hint="eastAsia"/>
        </w:rPr>
        <w:t>为确保稳定地符合要求，公司应对生产和服务提供的更改进行必要的评审和控制。</w:t>
      </w:r>
    </w:p>
    <w:p w14:paraId="7E8F9500">
      <w:pPr>
        <w:spacing w:line="360" w:lineRule="auto"/>
        <w:ind w:firstLine="420" w:firstLineChars="200"/>
        <w:rPr>
          <w:rFonts w:hint="eastAsia"/>
        </w:rPr>
      </w:pPr>
      <w:r>
        <w:rPr>
          <w:rFonts w:hint="eastAsia"/>
        </w:rPr>
        <w:t>各相关部门应保留成文信息，包括有关更改的评审结果，授权变更的人员和根据评审结果所采取的必要措施。</w:t>
      </w:r>
    </w:p>
    <w:p w14:paraId="2BD45CFB">
      <w:pPr>
        <w:spacing w:line="360" w:lineRule="auto"/>
        <w:ind w:firstLine="420" w:firstLineChars="200"/>
        <w:rPr>
          <w:rFonts w:hint="eastAsia"/>
        </w:rPr>
      </w:pPr>
      <w:r>
        <w:rPr>
          <w:rFonts w:hint="eastAsia"/>
        </w:rPr>
        <w:t>具体执行</w:t>
      </w:r>
      <w:r>
        <w:rPr>
          <w:rFonts w:hint="eastAsia"/>
          <w:highlight w:val="yellow"/>
        </w:rPr>
        <w:t>《变更过程控制程序》</w:t>
      </w:r>
      <w:r>
        <w:rPr>
          <w:rFonts w:hint="eastAsia"/>
        </w:rPr>
        <w:t>的相关规定。</w:t>
      </w:r>
    </w:p>
    <w:p w14:paraId="316E1ED7">
      <w:pPr>
        <w:spacing w:line="500" w:lineRule="exact"/>
        <w:ind w:firstLine="420" w:firstLineChars="200"/>
        <w:rPr>
          <w:rFonts w:hint="eastAsia" w:ascii="楷体_GB2312" w:hAnsi="宋体" w:eastAsia="楷体_GB2312"/>
          <w:szCs w:val="21"/>
        </w:rPr>
      </w:pPr>
      <w:r>
        <w:rPr>
          <w:rFonts w:hint="eastAsia" w:ascii="楷体_GB2312" w:hAnsi="宋体" w:eastAsia="楷体_GB2312" w:cs="楷体_GB2312"/>
          <w:szCs w:val="21"/>
        </w:rPr>
        <w:t>研发部按规定审批生产和服务过程的更改，包括对外部供方生产和服务过程的更改。</w:t>
      </w:r>
      <w:r>
        <w:rPr>
          <w:rFonts w:hint="eastAsia" w:ascii="楷体_GB2312" w:hAnsi="宋体" w:eastAsia="楷体_GB2312"/>
          <w:szCs w:val="21"/>
        </w:rPr>
        <w:t>生产和服务过程中，如工艺顺序更改，外部供方生产和服务过程的更改，需经生产副总经理批准，重大更改由副总经理组织评审，以评价对产品质量特性的影响，以便确保过程持续受控，并满足技术状态管理的要求。</w:t>
      </w:r>
    </w:p>
    <w:p w14:paraId="30C533BF">
      <w:pPr>
        <w:pStyle w:val="4"/>
        <w:rPr>
          <w:rFonts w:hint="eastAsia"/>
          <w:kern w:val="0"/>
          <w:lang w:val="ru-RU"/>
        </w:rPr>
      </w:pPr>
      <w:bookmarkStart w:id="178" w:name="_Toc536539715"/>
      <w:bookmarkStart w:id="179" w:name="_Toc17189"/>
      <w:r>
        <w:rPr>
          <w:rFonts w:hint="eastAsia"/>
          <w:kern w:val="0"/>
          <w:lang w:val="ru-RU"/>
        </w:rPr>
        <w:t>8.5.7 关键过程</w:t>
      </w:r>
      <w:bookmarkEnd w:id="178"/>
      <w:bookmarkEnd w:id="179"/>
    </w:p>
    <w:p w14:paraId="75F0E53F">
      <w:pPr>
        <w:spacing w:line="500" w:lineRule="exact"/>
        <w:ind w:firstLine="420" w:firstLineChars="200"/>
        <w:rPr>
          <w:rFonts w:hint="eastAsia" w:ascii="楷体_GB2312" w:hAnsi="宋体" w:eastAsia="楷体_GB2312"/>
          <w:szCs w:val="21"/>
          <w:highlight w:val="yellow"/>
        </w:rPr>
      </w:pPr>
      <w:r>
        <w:rPr>
          <w:rFonts w:hint="eastAsia" w:ascii="楷体_GB2312" w:hAnsi="宋体" w:eastAsia="楷体_GB2312"/>
          <w:szCs w:val="21"/>
        </w:rPr>
        <w:t>研发部负责识别关键过程，编制关键过程明细表，研发部归口管理并实施关键过程控制。关键过程一般包括形成关键、重要特性过程，加工难度大、质量不稳定、易造成重大经济损失的过程。</w:t>
      </w:r>
      <w:r>
        <w:rPr>
          <w:rFonts w:hint="eastAsia" w:ascii="楷体" w:hAnsi="楷体" w:eastAsia="楷体" w:cs="宋体"/>
          <w:kern w:val="0"/>
          <w:sz w:val="24"/>
          <w:highlight w:val="yellow"/>
        </w:rPr>
        <w:t>本公司已识别</w:t>
      </w:r>
      <w:r>
        <w:rPr>
          <w:rFonts w:hint="eastAsia" w:ascii="楷体" w:hAnsi="楷体" w:eastAsia="楷体" w:cs="宋体"/>
          <w:kern w:val="0"/>
          <w:sz w:val="24"/>
          <w:highlight w:val="yellow"/>
          <w:lang w:val="en-US" w:eastAsia="zh-CN"/>
        </w:rPr>
        <w:t>***</w:t>
      </w:r>
      <w:r>
        <w:rPr>
          <w:rFonts w:hint="eastAsia" w:ascii="楷体" w:hAnsi="楷体" w:eastAsia="楷体" w:cs="宋体"/>
          <w:kern w:val="0"/>
          <w:sz w:val="24"/>
          <w:highlight w:val="yellow"/>
        </w:rPr>
        <w:t>加工过程为关键过程。</w:t>
      </w:r>
    </w:p>
    <w:p w14:paraId="43783E9D">
      <w:pPr>
        <w:spacing w:line="500" w:lineRule="exact"/>
        <w:ind w:firstLine="420" w:firstLineChars="200"/>
        <w:rPr>
          <w:rFonts w:hint="eastAsia" w:ascii="楷体_GB2312" w:hAnsi="宋体" w:eastAsia="楷体_GB2312"/>
          <w:szCs w:val="21"/>
        </w:rPr>
      </w:pPr>
      <w:r>
        <w:rPr>
          <w:rFonts w:hint="eastAsia" w:ascii="楷体_GB2312" w:hAnsi="宋体" w:eastAsia="楷体_GB2312"/>
          <w:szCs w:val="21"/>
        </w:rPr>
        <w:t>关键过程控制内容除符合8.5.1的要求外还包括：</w:t>
      </w:r>
    </w:p>
    <w:p w14:paraId="79C1D8E6">
      <w:pPr>
        <w:spacing w:line="500" w:lineRule="exact"/>
        <w:ind w:firstLine="420" w:firstLineChars="200"/>
        <w:rPr>
          <w:rFonts w:hint="eastAsia" w:ascii="楷体_GB2312" w:hAnsi="宋体" w:eastAsia="楷体_GB2312"/>
          <w:szCs w:val="21"/>
        </w:rPr>
      </w:pPr>
      <w:r>
        <w:rPr>
          <w:rFonts w:hint="eastAsia" w:ascii="楷体_GB2312" w:hAnsi="宋体" w:eastAsia="楷体_GB2312"/>
          <w:szCs w:val="21"/>
        </w:rPr>
        <w:t>a)在工艺文件、工艺流程卡、关键工序工位上对关键过程进行标识；</w:t>
      </w:r>
    </w:p>
    <w:p w14:paraId="49779276">
      <w:pPr>
        <w:spacing w:line="500" w:lineRule="exact"/>
        <w:ind w:firstLine="420" w:firstLineChars="200"/>
        <w:rPr>
          <w:rFonts w:hint="eastAsia" w:ascii="楷体_GB2312" w:hAnsi="宋体" w:eastAsia="楷体_GB2312"/>
          <w:szCs w:val="21"/>
        </w:rPr>
      </w:pPr>
      <w:r>
        <w:rPr>
          <w:rFonts w:hint="eastAsia" w:ascii="楷体_GB2312" w:hAnsi="宋体" w:eastAsia="楷体_GB2312"/>
          <w:szCs w:val="21"/>
        </w:rPr>
        <w:t>b)在生产现场的工序点设置质量控制点，实施“三定”（定工序、定设备、定人员）对过程参数、产品和服务的关键特性或重要特性实施有效监视和控制；</w:t>
      </w:r>
    </w:p>
    <w:p w14:paraId="21C934CB">
      <w:pPr>
        <w:spacing w:line="500" w:lineRule="exact"/>
        <w:ind w:firstLine="420" w:firstLineChars="200"/>
        <w:rPr>
          <w:rFonts w:hint="eastAsia" w:ascii="楷体_GB2312" w:hAnsi="宋体" w:eastAsia="楷体_GB2312"/>
          <w:szCs w:val="21"/>
        </w:rPr>
      </w:pPr>
      <w:r>
        <w:rPr>
          <w:rFonts w:hint="eastAsia" w:ascii="楷体_GB2312" w:hAnsi="宋体" w:eastAsia="楷体_GB2312"/>
          <w:szCs w:val="21"/>
        </w:rPr>
        <w:t>c）生产过程对关键特性和重要特性实施百分之百检验。不能实施百分之百检验的，由研发部规定检验或验证方法并征得顾客同意；</w:t>
      </w:r>
    </w:p>
    <w:p w14:paraId="3EF9540C">
      <w:pPr>
        <w:spacing w:line="500" w:lineRule="exact"/>
        <w:ind w:firstLine="420" w:firstLineChars="200"/>
        <w:rPr>
          <w:rFonts w:hint="eastAsia" w:ascii="楷体_GB2312" w:hAnsi="宋体" w:eastAsia="楷体_GB2312"/>
          <w:szCs w:val="21"/>
        </w:rPr>
      </w:pPr>
      <w:r>
        <w:rPr>
          <w:rFonts w:hint="eastAsia" w:ascii="楷体_GB2312" w:hAnsi="宋体" w:eastAsia="楷体_GB2312"/>
          <w:szCs w:val="21"/>
        </w:rPr>
        <w:t>d）运用统计技术，确保过程能力满足要求；</w:t>
      </w:r>
    </w:p>
    <w:p w14:paraId="4FB996B8">
      <w:pPr>
        <w:autoSpaceDE w:val="0"/>
        <w:autoSpaceDN w:val="0"/>
        <w:spacing w:line="500" w:lineRule="exact"/>
        <w:ind w:firstLine="420" w:firstLineChars="200"/>
        <w:jc w:val="left"/>
        <w:rPr>
          <w:rFonts w:hint="eastAsia" w:ascii="楷体_GB2312" w:hAnsi="宋体" w:eastAsia="楷体_GB2312"/>
          <w:kern w:val="0"/>
          <w:szCs w:val="21"/>
        </w:rPr>
      </w:pPr>
      <w:r>
        <w:rPr>
          <w:rFonts w:hint="eastAsia" w:ascii="楷体_GB2312" w:hAnsi="宋体" w:eastAsia="楷体_GB2312"/>
          <w:szCs w:val="21"/>
        </w:rPr>
        <w:t>e）产品转移、交接时应作好标识，详细填写质量记录，保持可追溯性。</w:t>
      </w:r>
    </w:p>
    <w:p w14:paraId="7B54127D">
      <w:pPr>
        <w:pStyle w:val="3"/>
        <w:rPr>
          <w:rFonts w:hint="eastAsia"/>
        </w:rPr>
      </w:pPr>
      <w:r>
        <w:rPr>
          <w:rFonts w:hint="eastAsia"/>
        </w:rPr>
        <w:t xml:space="preserve"> </w:t>
      </w:r>
      <w:bookmarkStart w:id="180" w:name="_Toc11099"/>
      <w:bookmarkStart w:id="181" w:name="_Toc536539716"/>
      <w:r>
        <w:rPr>
          <w:rFonts w:hint="eastAsia"/>
        </w:rPr>
        <w:t>8.6 产品和服务的放行</w:t>
      </w:r>
      <w:bookmarkEnd w:id="180"/>
      <w:bookmarkEnd w:id="181"/>
    </w:p>
    <w:p w14:paraId="494D08D7">
      <w:pPr>
        <w:spacing w:line="336" w:lineRule="auto"/>
        <w:ind w:firstLine="420" w:firstLineChars="200"/>
        <w:rPr>
          <w:rFonts w:hint="eastAsia"/>
        </w:rPr>
      </w:pPr>
      <w:r>
        <w:rPr>
          <w:rFonts w:hint="eastAsia"/>
        </w:rPr>
        <w:t>品质部应在适当的阶段实施策划的安排（进货检验和试验、过程检验和试验、成品的检验和试验等），以验证产品和服务的要求已被满足。</w:t>
      </w:r>
    </w:p>
    <w:p w14:paraId="41631103">
      <w:pPr>
        <w:autoSpaceDE w:val="0"/>
        <w:autoSpaceDN w:val="0"/>
        <w:adjustRightInd w:val="0"/>
        <w:spacing w:line="360" w:lineRule="atLeast"/>
        <w:ind w:firstLine="420" w:firstLineChars="200"/>
        <w:jc w:val="left"/>
        <w:rPr>
          <w:rFonts w:ascii="宋体" w:hAnsi="Arial" w:cs="宋体"/>
          <w:kern w:val="0"/>
          <w:szCs w:val="21"/>
        </w:rPr>
      </w:pPr>
      <w:r>
        <w:rPr>
          <w:rFonts w:hint="eastAsia"/>
        </w:rPr>
        <w:t>品质部应</w:t>
      </w:r>
      <w:r>
        <w:rPr>
          <w:rFonts w:hint="eastAsia" w:ascii="宋体" w:hAnsi="Arial" w:cs="宋体"/>
          <w:kern w:val="0"/>
          <w:szCs w:val="21"/>
        </w:rPr>
        <w:t>保留有关产品和服务放行的成文信息。成文信息应包括：</w:t>
      </w:r>
    </w:p>
    <w:p w14:paraId="6EB9AD8C">
      <w:pPr>
        <w:numPr>
          <w:ilvl w:val="0"/>
          <w:numId w:val="13"/>
        </w:numPr>
        <w:spacing w:line="400" w:lineRule="exact"/>
      </w:pPr>
      <w:r>
        <w:rPr>
          <w:rFonts w:hint="eastAsia"/>
        </w:rPr>
        <w:t>符合接收准则的证据；</w:t>
      </w:r>
    </w:p>
    <w:p w14:paraId="29EA482D">
      <w:pPr>
        <w:numPr>
          <w:ilvl w:val="0"/>
          <w:numId w:val="13"/>
        </w:numPr>
        <w:spacing w:line="400" w:lineRule="exact"/>
      </w:pPr>
      <w:r>
        <w:rPr>
          <w:rFonts w:hint="eastAsia"/>
        </w:rPr>
        <w:t>可追溯到授权放行人员的信息。</w:t>
      </w:r>
    </w:p>
    <w:p w14:paraId="3ED58979">
      <w:pPr>
        <w:spacing w:line="336" w:lineRule="auto"/>
        <w:ind w:firstLine="420" w:firstLineChars="200"/>
      </w:pPr>
      <w:r>
        <w:rPr>
          <w:rFonts w:hint="eastAsia"/>
        </w:rPr>
        <w:t>除非得到有关授权人员的批准，适用时得到顾客的批准，否则在策划安排的已圆满完成之前，不应向顾客放行产品和交付服务。</w:t>
      </w:r>
    </w:p>
    <w:p w14:paraId="40088670">
      <w:pPr>
        <w:overflowPunct w:val="0"/>
        <w:spacing w:line="500" w:lineRule="exact"/>
        <w:rPr>
          <w:rFonts w:hint="eastAsia" w:ascii="宋体" w:hAnsi="宋体"/>
          <w:b/>
          <w:szCs w:val="21"/>
        </w:rPr>
      </w:pPr>
      <w:r>
        <w:rPr>
          <w:rFonts w:ascii="宋体" w:hAnsi="宋体"/>
          <w:b/>
          <w:szCs w:val="21"/>
        </w:rPr>
        <w:t>8.</w:t>
      </w:r>
      <w:r>
        <w:rPr>
          <w:rFonts w:hint="eastAsia" w:ascii="宋体" w:hAnsi="宋体"/>
          <w:b/>
          <w:szCs w:val="21"/>
        </w:rPr>
        <w:t>6.1</w:t>
      </w:r>
      <w:r>
        <w:rPr>
          <w:rFonts w:ascii="宋体" w:hAnsi="宋体"/>
          <w:b/>
          <w:szCs w:val="21"/>
        </w:rPr>
        <w:t xml:space="preserve">  总则</w:t>
      </w:r>
    </w:p>
    <w:p w14:paraId="30BB683C">
      <w:pPr>
        <w:spacing w:line="500" w:lineRule="exact"/>
        <w:ind w:firstLine="420" w:firstLineChars="200"/>
        <w:rPr>
          <w:rFonts w:hint="eastAsia" w:ascii="宋体" w:hAnsi="宋体"/>
          <w:szCs w:val="21"/>
        </w:rPr>
      </w:pPr>
      <w:r>
        <w:rPr>
          <w:rFonts w:ascii="宋体" w:hAnsi="宋体"/>
          <w:szCs w:val="21"/>
        </w:rPr>
        <w:t>公司编制并执行</w:t>
      </w:r>
      <w:r>
        <w:rPr>
          <w:rFonts w:ascii="宋体" w:hAnsi="宋体"/>
          <w:szCs w:val="21"/>
          <w:highlight w:val="yellow"/>
        </w:rPr>
        <w:t>《</w:t>
      </w:r>
      <w:r>
        <w:rPr>
          <w:rFonts w:hint="eastAsia" w:ascii="宋体" w:hAnsi="宋体"/>
          <w:szCs w:val="21"/>
          <w:highlight w:val="yellow"/>
        </w:rPr>
        <w:t>产品监视和测量控制程序</w:t>
      </w:r>
      <w:r>
        <w:rPr>
          <w:rFonts w:ascii="宋体" w:hAnsi="宋体"/>
          <w:szCs w:val="21"/>
          <w:highlight w:val="yellow"/>
        </w:rPr>
        <w:t>》</w:t>
      </w:r>
      <w:r>
        <w:rPr>
          <w:rFonts w:hint="eastAsia" w:ascii="宋体" w:hAnsi="宋体"/>
          <w:szCs w:val="21"/>
        </w:rPr>
        <w:t>以明确产品在各阶段放行的职责、依据、控制内容等具体要求</w:t>
      </w:r>
      <w:r>
        <w:rPr>
          <w:rFonts w:ascii="宋体" w:hAnsi="宋体"/>
          <w:szCs w:val="21"/>
        </w:rPr>
        <w:t>。品质部按照产品检验规范（规程），在产品实现过程的适当阶段实施进货检验和试验、过程检验和试验以及最终检验和试验，对产品的特性进行监视和测量，以验证产品</w:t>
      </w:r>
      <w:r>
        <w:rPr>
          <w:rFonts w:hint="eastAsia" w:ascii="宋体" w:hAnsi="宋体"/>
          <w:szCs w:val="21"/>
        </w:rPr>
        <w:t>和服务</w:t>
      </w:r>
      <w:r>
        <w:rPr>
          <w:rFonts w:ascii="宋体" w:hAnsi="宋体"/>
          <w:szCs w:val="21"/>
        </w:rPr>
        <w:t>要求已得到满足。</w:t>
      </w:r>
    </w:p>
    <w:p w14:paraId="7258EBC4">
      <w:pPr>
        <w:overflowPunct w:val="0"/>
        <w:spacing w:line="500" w:lineRule="exact"/>
        <w:rPr>
          <w:rFonts w:ascii="宋体" w:hAnsi="宋体"/>
          <w:b/>
          <w:szCs w:val="21"/>
        </w:rPr>
      </w:pPr>
      <w:r>
        <w:rPr>
          <w:rFonts w:ascii="宋体" w:hAnsi="宋体"/>
          <w:b/>
          <w:szCs w:val="21"/>
        </w:rPr>
        <w:t>8.</w:t>
      </w:r>
      <w:r>
        <w:rPr>
          <w:rFonts w:hint="eastAsia" w:ascii="宋体" w:hAnsi="宋体"/>
          <w:b/>
          <w:szCs w:val="21"/>
        </w:rPr>
        <w:t>6</w:t>
      </w:r>
      <w:r>
        <w:rPr>
          <w:rFonts w:ascii="宋体" w:hAnsi="宋体"/>
          <w:b/>
          <w:szCs w:val="21"/>
        </w:rPr>
        <w:t>.2  采购产品的验证</w:t>
      </w:r>
      <w:r>
        <w:rPr>
          <w:rFonts w:hint="eastAsia" w:ascii="宋体" w:hAnsi="宋体"/>
          <w:b/>
          <w:szCs w:val="21"/>
        </w:rPr>
        <w:t>：</w:t>
      </w:r>
    </w:p>
    <w:p w14:paraId="4012E132">
      <w:pPr>
        <w:tabs>
          <w:tab w:val="left" w:pos="1200"/>
        </w:tabs>
        <w:overflowPunct w:val="0"/>
        <w:spacing w:line="440" w:lineRule="exact"/>
        <w:ind w:firstLine="420" w:firstLineChars="200"/>
        <w:rPr>
          <w:rFonts w:ascii="宋体" w:hAnsi="宋体"/>
          <w:szCs w:val="21"/>
        </w:rPr>
      </w:pPr>
      <w:r>
        <w:rPr>
          <w:rFonts w:ascii="宋体" w:hAnsi="宋体"/>
          <w:szCs w:val="21"/>
        </w:rPr>
        <w:t>a)品质部对所有采购（外包）物资（产品），在入库前进行检验或验证，符合规定要求方能入库，并填写检验记录；</w:t>
      </w:r>
    </w:p>
    <w:p w14:paraId="57E83781">
      <w:pPr>
        <w:overflowPunct w:val="0"/>
        <w:spacing w:line="500" w:lineRule="exact"/>
        <w:ind w:firstLine="420" w:firstLineChars="200"/>
        <w:jc w:val="left"/>
        <w:rPr>
          <w:rFonts w:ascii="宋体" w:hAnsi="宋体"/>
          <w:szCs w:val="21"/>
        </w:rPr>
      </w:pPr>
      <w:r>
        <w:rPr>
          <w:rFonts w:ascii="宋体" w:hAnsi="宋体"/>
          <w:szCs w:val="21"/>
        </w:rPr>
        <w:t>b)未经检验和试验或经检验和试验不合格的产品不得入库或发放使用。</w:t>
      </w:r>
    </w:p>
    <w:p w14:paraId="740458C8">
      <w:pPr>
        <w:overflowPunct w:val="0"/>
        <w:spacing w:line="500" w:lineRule="exact"/>
        <w:rPr>
          <w:rFonts w:ascii="宋体" w:hAnsi="宋体"/>
          <w:b/>
          <w:szCs w:val="21"/>
        </w:rPr>
      </w:pPr>
      <w:r>
        <w:rPr>
          <w:rFonts w:ascii="宋体" w:hAnsi="宋体"/>
          <w:b/>
          <w:szCs w:val="21"/>
        </w:rPr>
        <w:t>8.</w:t>
      </w:r>
      <w:r>
        <w:rPr>
          <w:rFonts w:hint="eastAsia" w:ascii="宋体" w:hAnsi="宋体"/>
          <w:b/>
          <w:szCs w:val="21"/>
        </w:rPr>
        <w:t>6</w:t>
      </w:r>
      <w:r>
        <w:rPr>
          <w:rFonts w:ascii="宋体" w:hAnsi="宋体"/>
          <w:b/>
          <w:szCs w:val="21"/>
        </w:rPr>
        <w:t>.3</w:t>
      </w:r>
      <w:r>
        <w:rPr>
          <w:rFonts w:hint="eastAsia" w:ascii="宋体" w:hAnsi="宋体"/>
          <w:b/>
          <w:szCs w:val="21"/>
        </w:rPr>
        <w:t xml:space="preserve">  </w:t>
      </w:r>
      <w:r>
        <w:rPr>
          <w:rFonts w:ascii="宋体" w:hAnsi="宋体"/>
          <w:b/>
          <w:szCs w:val="21"/>
        </w:rPr>
        <w:t>半成品的监视和测量</w:t>
      </w:r>
    </w:p>
    <w:p w14:paraId="749523C1">
      <w:pPr>
        <w:overflowPunct w:val="0"/>
        <w:spacing w:line="500" w:lineRule="exact"/>
        <w:ind w:firstLine="371" w:firstLineChars="177"/>
        <w:rPr>
          <w:rFonts w:ascii="宋体" w:hAnsi="宋体"/>
          <w:szCs w:val="21"/>
        </w:rPr>
      </w:pPr>
      <w:r>
        <w:rPr>
          <w:rFonts w:ascii="宋体" w:hAnsi="宋体"/>
          <w:szCs w:val="21"/>
        </w:rPr>
        <w:t>a)在试制或生产过程中，品质部负责半成品的监视和测量，做好检验记录；</w:t>
      </w:r>
    </w:p>
    <w:p w14:paraId="07BDF917">
      <w:pPr>
        <w:overflowPunct w:val="0"/>
        <w:spacing w:line="500" w:lineRule="exact"/>
        <w:ind w:firstLine="371" w:firstLineChars="177"/>
        <w:rPr>
          <w:rFonts w:ascii="宋体" w:hAnsi="宋体"/>
          <w:szCs w:val="21"/>
        </w:rPr>
      </w:pPr>
      <w:r>
        <w:rPr>
          <w:rFonts w:ascii="宋体" w:hAnsi="宋体"/>
          <w:szCs w:val="21"/>
        </w:rPr>
        <w:t>b)在试制或生产过程中，应按照检验规范，做好工序的检验和试验，只有经过检验或试验合格的产品才能转入下道工序；</w:t>
      </w:r>
    </w:p>
    <w:p w14:paraId="069C5AE8">
      <w:pPr>
        <w:overflowPunct w:val="0"/>
        <w:spacing w:line="500" w:lineRule="exact"/>
        <w:ind w:firstLine="420" w:firstLineChars="200"/>
        <w:jc w:val="left"/>
        <w:rPr>
          <w:rFonts w:ascii="宋体" w:hAnsi="宋体"/>
          <w:szCs w:val="21"/>
        </w:rPr>
      </w:pPr>
      <w:r>
        <w:rPr>
          <w:rFonts w:ascii="宋体" w:hAnsi="宋体"/>
          <w:szCs w:val="21"/>
        </w:rPr>
        <w:t>c)检验不合格的产品执行</w:t>
      </w:r>
      <w:r>
        <w:rPr>
          <w:rFonts w:hint="eastAsia" w:ascii="宋体" w:hAnsi="宋体"/>
          <w:szCs w:val="21"/>
          <w:highlight w:val="yellow"/>
        </w:rPr>
        <w:t>《不合格品控制程序》</w:t>
      </w:r>
      <w:r>
        <w:rPr>
          <w:rFonts w:ascii="宋体" w:hAnsi="宋体"/>
          <w:szCs w:val="21"/>
        </w:rPr>
        <w:t>的规定。</w:t>
      </w:r>
    </w:p>
    <w:p w14:paraId="3F825B77">
      <w:pPr>
        <w:overflowPunct w:val="0"/>
        <w:spacing w:line="500" w:lineRule="exact"/>
        <w:rPr>
          <w:rFonts w:ascii="宋体" w:hAnsi="宋体"/>
          <w:b/>
          <w:szCs w:val="21"/>
        </w:rPr>
      </w:pPr>
      <w:r>
        <w:rPr>
          <w:rFonts w:ascii="宋体" w:hAnsi="宋体"/>
          <w:b/>
          <w:szCs w:val="21"/>
        </w:rPr>
        <w:t>8.</w:t>
      </w:r>
      <w:r>
        <w:rPr>
          <w:rFonts w:hint="eastAsia" w:ascii="宋体" w:hAnsi="宋体"/>
          <w:b/>
          <w:szCs w:val="21"/>
        </w:rPr>
        <w:t>6</w:t>
      </w:r>
      <w:r>
        <w:rPr>
          <w:rFonts w:ascii="宋体" w:hAnsi="宋体"/>
          <w:b/>
          <w:szCs w:val="21"/>
        </w:rPr>
        <w:t>.4</w:t>
      </w:r>
      <w:r>
        <w:rPr>
          <w:rFonts w:hint="eastAsia" w:ascii="宋体" w:hAnsi="宋体"/>
          <w:b/>
          <w:szCs w:val="21"/>
        </w:rPr>
        <w:t xml:space="preserve">  </w:t>
      </w:r>
      <w:r>
        <w:rPr>
          <w:rFonts w:ascii="宋体" w:hAnsi="宋体"/>
          <w:b/>
          <w:szCs w:val="21"/>
        </w:rPr>
        <w:t>成品的监视和测量</w:t>
      </w:r>
    </w:p>
    <w:p w14:paraId="7C5F52CA">
      <w:pPr>
        <w:overflowPunct w:val="0"/>
        <w:spacing w:line="500" w:lineRule="exact"/>
        <w:ind w:firstLine="420" w:firstLineChars="200"/>
        <w:rPr>
          <w:rFonts w:ascii="宋体" w:hAnsi="宋体"/>
          <w:szCs w:val="21"/>
        </w:rPr>
      </w:pPr>
      <w:r>
        <w:rPr>
          <w:rFonts w:ascii="宋体" w:hAnsi="宋体"/>
          <w:szCs w:val="21"/>
        </w:rPr>
        <w:t>a)品质部负责组织按产品检验（试验）规程组织实施成品的监视和测量。当公司自身不能完成或顾客有指定要求时，由品质部负责联系并将产品送到具有资质的单位实施检验或试验。研发部负责编制</w:t>
      </w:r>
      <w:r>
        <w:rPr>
          <w:rFonts w:hint="eastAsia" w:ascii="宋体" w:hAnsi="宋体"/>
          <w:szCs w:val="21"/>
        </w:rPr>
        <w:t>检验规程、</w:t>
      </w:r>
      <w:r>
        <w:rPr>
          <w:rFonts w:ascii="宋体" w:hAnsi="宋体"/>
          <w:szCs w:val="21"/>
        </w:rPr>
        <w:t>试验大纲或其他技术要求，提出检验试验的项目和判定准则，由品质部向试验单位提出具体的试验要求和试验单位应提供记录的要求</w:t>
      </w:r>
      <w:r>
        <w:rPr>
          <w:rFonts w:hint="eastAsia" w:ascii="宋体" w:hAnsi="宋体"/>
          <w:szCs w:val="21"/>
        </w:rPr>
        <w:t>。</w:t>
      </w:r>
      <w:r>
        <w:rPr>
          <w:rFonts w:hint="eastAsia" w:ascii="宋体" w:hAnsi="宋体" w:cs="楷体_GB2312"/>
          <w:kern w:val="0"/>
          <w:szCs w:val="21"/>
        </w:rPr>
        <w:t>在委托外部供方进行试验、验证时，规定委托的要求并保留委托和验证的记录，包括实验室或试验机构的资质信息；</w:t>
      </w:r>
    </w:p>
    <w:p w14:paraId="26D17AA3">
      <w:pPr>
        <w:overflowPunct w:val="0"/>
        <w:spacing w:line="500" w:lineRule="exact"/>
        <w:ind w:firstLine="420" w:firstLineChars="200"/>
        <w:rPr>
          <w:rFonts w:ascii="宋体" w:hAnsi="宋体"/>
          <w:szCs w:val="21"/>
        </w:rPr>
      </w:pPr>
      <w:r>
        <w:rPr>
          <w:rFonts w:ascii="宋体" w:hAnsi="宋体"/>
          <w:szCs w:val="21"/>
        </w:rPr>
        <w:t>b)成品监视和测量是在所有规定的进货检验或验证，以及过程检验和试验均已完成且结果满足要求时进行；</w:t>
      </w:r>
    </w:p>
    <w:p w14:paraId="47C0B586">
      <w:pPr>
        <w:overflowPunct w:val="0"/>
        <w:spacing w:line="500" w:lineRule="exact"/>
        <w:ind w:firstLine="420" w:firstLineChars="200"/>
        <w:rPr>
          <w:rFonts w:ascii="宋体" w:hAnsi="宋体"/>
          <w:szCs w:val="21"/>
        </w:rPr>
      </w:pPr>
      <w:r>
        <w:rPr>
          <w:rFonts w:ascii="宋体" w:hAnsi="宋体"/>
          <w:szCs w:val="21"/>
        </w:rPr>
        <w:t>c)成品经最终检验和试验全部合格后，由品质部填写产品检验报告和合格证，并提交顾客验收；</w:t>
      </w:r>
    </w:p>
    <w:p w14:paraId="21773D86">
      <w:pPr>
        <w:overflowPunct w:val="0"/>
        <w:spacing w:line="500" w:lineRule="exact"/>
        <w:ind w:firstLine="420" w:firstLineChars="200"/>
        <w:jc w:val="left"/>
        <w:rPr>
          <w:rFonts w:ascii="宋体" w:hAnsi="宋体"/>
          <w:szCs w:val="21"/>
        </w:rPr>
      </w:pPr>
      <w:r>
        <w:rPr>
          <w:rFonts w:ascii="宋体" w:hAnsi="宋体"/>
          <w:szCs w:val="21"/>
        </w:rPr>
        <w:t>d)顾客验收通过后，成品入库并由</w:t>
      </w:r>
      <w:r>
        <w:rPr>
          <w:rFonts w:hint="eastAsia" w:ascii="宋体" w:hAnsi="宋体"/>
          <w:szCs w:val="21"/>
        </w:rPr>
        <w:t>营销部</w:t>
      </w:r>
      <w:r>
        <w:rPr>
          <w:rFonts w:ascii="宋体" w:hAnsi="宋体"/>
          <w:szCs w:val="21"/>
        </w:rPr>
        <w:t>负责向顾客交付。</w:t>
      </w:r>
    </w:p>
    <w:p w14:paraId="06EACC5B">
      <w:pPr>
        <w:autoSpaceDE w:val="0"/>
        <w:autoSpaceDN w:val="0"/>
        <w:spacing w:line="500" w:lineRule="exact"/>
        <w:ind w:firstLine="420" w:firstLineChars="200"/>
        <w:jc w:val="left"/>
        <w:rPr>
          <w:rFonts w:ascii="宋体" w:hAnsi="宋体"/>
          <w:kern w:val="0"/>
          <w:szCs w:val="21"/>
        </w:rPr>
      </w:pPr>
      <w:r>
        <w:rPr>
          <w:rFonts w:hint="eastAsia" w:ascii="宋体" w:hAnsi="宋体" w:cs="宋体"/>
          <w:kern w:val="0"/>
          <w:szCs w:val="21"/>
        </w:rPr>
        <w:t>除非得到有关授权人员的批准，例外放行时得到顾客的批准，否则在策划的安排已圆满完成之前，不应向顾客放行产品和交付服务。</w:t>
      </w:r>
    </w:p>
    <w:p w14:paraId="3282B1E1">
      <w:pPr>
        <w:spacing w:line="500" w:lineRule="exact"/>
        <w:rPr>
          <w:rFonts w:hint="eastAsia" w:ascii="楷体_GB2312" w:hAnsi="宋体" w:eastAsia="楷体_GB2312"/>
          <w:szCs w:val="21"/>
        </w:rPr>
      </w:pPr>
      <w:r>
        <w:rPr>
          <w:rFonts w:hint="eastAsia" w:ascii="楷体_GB2312" w:hAnsi="宋体" w:eastAsia="楷体_GB2312"/>
          <w:szCs w:val="21"/>
        </w:rPr>
        <w:t>8.6.5</w:t>
      </w:r>
      <w:r>
        <w:rPr>
          <w:rFonts w:hint="eastAsia" w:ascii="楷体_GB2312" w:hAnsi="宋体" w:eastAsia="楷体_GB2312" w:cs="楷体_GB2312"/>
          <w:szCs w:val="21"/>
        </w:rPr>
        <w:t xml:space="preserve">  品质部负责对交付的产品和服务进行检验、试验，确认其符合接收准则后，方可提交顾客验收。</w:t>
      </w:r>
    </w:p>
    <w:p w14:paraId="415A06A8">
      <w:pPr>
        <w:spacing w:line="500" w:lineRule="exact"/>
        <w:ind w:firstLine="525" w:firstLineChars="250"/>
        <w:rPr>
          <w:rFonts w:hint="eastAsia" w:ascii="楷体_GB2312" w:hAnsi="宋体" w:eastAsia="楷体_GB2312"/>
          <w:szCs w:val="21"/>
        </w:rPr>
      </w:pPr>
      <w:r>
        <w:rPr>
          <w:rFonts w:hint="eastAsia" w:ascii="楷体_GB2312" w:hAnsi="宋体" w:eastAsia="楷体_GB2312" w:cs="楷体_GB2312"/>
          <w:szCs w:val="21"/>
        </w:rPr>
        <w:t>交付时品质部负责提供按规定签署的产品和服务合格证明、检验和试验结果文件；最终产品技术状态发生变更时，由研发部提供有关最终产品技术状态更改的执行情况。</w:t>
      </w:r>
    </w:p>
    <w:p w14:paraId="4A78B927">
      <w:pPr>
        <w:spacing w:line="500" w:lineRule="exact"/>
        <w:ind w:firstLine="525" w:firstLineChars="250"/>
        <w:rPr>
          <w:rFonts w:hint="eastAsia" w:ascii="楷体_GB2312" w:hAnsi="宋体" w:eastAsia="楷体_GB2312"/>
          <w:szCs w:val="21"/>
        </w:rPr>
      </w:pPr>
      <w:r>
        <w:rPr>
          <w:rFonts w:hint="eastAsia" w:ascii="楷体_GB2312" w:hAnsi="宋体" w:eastAsia="楷体_GB2312" w:cs="楷体_GB2312"/>
          <w:szCs w:val="21"/>
        </w:rPr>
        <w:t>交付的产品和服务由品质部代表公司向顾客提交验收并经顾客验收合格。按技术协议或相关规定要求提供有效技术文件、配套备附件、测量设备和其他保障资源。</w:t>
      </w:r>
    </w:p>
    <w:p w14:paraId="30C36D4E">
      <w:pPr>
        <w:overflowPunct w:val="0"/>
        <w:spacing w:line="500" w:lineRule="exact"/>
        <w:ind w:firstLine="525" w:firstLineChars="250"/>
        <w:rPr>
          <w:rFonts w:hint="eastAsia" w:ascii="楷体_GB2312" w:hAnsi="宋体" w:eastAsia="楷体_GB2312"/>
          <w:szCs w:val="21"/>
        </w:rPr>
      </w:pPr>
      <w:r>
        <w:rPr>
          <w:rFonts w:hint="eastAsia" w:ascii="楷体_GB2312" w:hAnsi="宋体" w:eastAsia="楷体_GB2312"/>
          <w:szCs w:val="21"/>
        </w:rPr>
        <w:t>当产品和服务未完成所有要求的验证活动，需例外</w:t>
      </w:r>
      <w:r>
        <w:rPr>
          <w:rFonts w:hint="eastAsia" w:ascii="楷体_GB2312" w:hAnsi="宋体" w:eastAsia="楷体_GB2312" w:cs="楷体_GB2312"/>
          <w:szCs w:val="21"/>
        </w:rPr>
        <w:t>（紧急）</w:t>
      </w:r>
      <w:r>
        <w:rPr>
          <w:rFonts w:hint="eastAsia" w:ascii="楷体_GB2312" w:hAnsi="宋体" w:eastAsia="楷体_GB2312"/>
          <w:szCs w:val="21"/>
        </w:rPr>
        <w:t>放行时，经总经理或有关授权人批准，由品质部征得顾客的同意，并对放行产品进行标识和记录，确保能追回和更换产品，否则在产品实现的策划已圆满完成之前不应向顾客放行产品和交付服务。批准放行后仍由品质部予以监视和跟踪。</w:t>
      </w:r>
    </w:p>
    <w:p w14:paraId="19AA01F4">
      <w:pPr>
        <w:pStyle w:val="3"/>
      </w:pPr>
      <w:r>
        <w:rPr>
          <w:rFonts w:hint="eastAsia"/>
        </w:rPr>
        <w:t xml:space="preserve"> </w:t>
      </w:r>
      <w:bookmarkStart w:id="182" w:name="_Toc23470"/>
      <w:bookmarkStart w:id="183" w:name="_Toc536539717"/>
      <w:r>
        <w:rPr>
          <w:rFonts w:hint="eastAsia"/>
        </w:rPr>
        <w:t>8.7 不合格输出的控制</w:t>
      </w:r>
      <w:bookmarkEnd w:id="182"/>
      <w:bookmarkEnd w:id="183"/>
    </w:p>
    <w:p w14:paraId="04F9BA9E">
      <w:pPr>
        <w:spacing w:line="500" w:lineRule="exact"/>
        <w:ind w:left="120" w:leftChars="57"/>
        <w:rPr>
          <w:rFonts w:ascii="宋体" w:hAnsi="宋体"/>
          <w:szCs w:val="21"/>
        </w:rPr>
      </w:pPr>
      <w:r>
        <w:rPr>
          <w:rFonts w:ascii="宋体" w:hAnsi="宋体"/>
          <w:szCs w:val="21"/>
        </w:rPr>
        <w:t>8.7.1</w:t>
      </w:r>
      <w:r>
        <w:rPr>
          <w:rFonts w:hint="eastAsia" w:ascii="宋体" w:hAnsi="宋体"/>
          <w:szCs w:val="21"/>
        </w:rPr>
        <w:t xml:space="preserve">  </w:t>
      </w:r>
      <w:r>
        <w:rPr>
          <w:rFonts w:ascii="宋体" w:hAnsi="宋体"/>
          <w:szCs w:val="21"/>
        </w:rPr>
        <w:t>公司按GJB 571</w:t>
      </w:r>
      <w:r>
        <w:rPr>
          <w:rFonts w:hint="eastAsia" w:ascii="宋体" w:hAnsi="宋体"/>
          <w:szCs w:val="21"/>
        </w:rPr>
        <w:t>《不合格品管理》</w:t>
      </w:r>
      <w:r>
        <w:rPr>
          <w:rFonts w:ascii="宋体" w:hAnsi="宋体"/>
          <w:szCs w:val="21"/>
        </w:rPr>
        <w:t>的要求</w:t>
      </w:r>
      <w:r>
        <w:rPr>
          <w:rFonts w:hint="eastAsia" w:ascii="宋体" w:hAnsi="宋体"/>
          <w:szCs w:val="21"/>
        </w:rPr>
        <w:t>，</w:t>
      </w:r>
      <w:r>
        <w:rPr>
          <w:rFonts w:ascii="宋体" w:hAnsi="宋体"/>
          <w:szCs w:val="21"/>
        </w:rPr>
        <w:t>制定、实施和保持</w:t>
      </w:r>
      <w:r>
        <w:rPr>
          <w:rFonts w:hint="eastAsia" w:ascii="宋体" w:hAnsi="宋体"/>
          <w:sz w:val="24"/>
          <w:highlight w:val="yellow"/>
        </w:rPr>
        <w:t>《不合格品控制程序》</w:t>
      </w:r>
      <w:r>
        <w:rPr>
          <w:rFonts w:hint="eastAsia"/>
        </w:rPr>
        <w:t>，以明确不合格输出的管理职责、流程、内容等的具体要求，</w:t>
      </w:r>
      <w:r>
        <w:rPr>
          <w:rFonts w:hint="eastAsia" w:ascii="宋体" w:hAnsi="宋体"/>
          <w:szCs w:val="21"/>
        </w:rPr>
        <w:t>规定</w:t>
      </w:r>
      <w:r>
        <w:rPr>
          <w:rFonts w:ascii="宋体" w:hAnsi="宋体"/>
          <w:szCs w:val="21"/>
        </w:rPr>
        <w:t>不合格</w:t>
      </w:r>
      <w:r>
        <w:rPr>
          <w:rFonts w:hint="eastAsia" w:ascii="宋体" w:hAnsi="宋体"/>
          <w:szCs w:val="21"/>
        </w:rPr>
        <w:t>品</w:t>
      </w:r>
      <w:r>
        <w:rPr>
          <w:rFonts w:ascii="宋体" w:hAnsi="宋体"/>
          <w:szCs w:val="21"/>
        </w:rPr>
        <w:t>隔离、标识、记录、审理和处置的要求。由品质部负责对不合格</w:t>
      </w:r>
      <w:r>
        <w:rPr>
          <w:rFonts w:hint="eastAsia" w:ascii="宋体" w:hAnsi="宋体"/>
          <w:szCs w:val="21"/>
        </w:rPr>
        <w:t>输出</w:t>
      </w:r>
      <w:r>
        <w:rPr>
          <w:rFonts w:ascii="宋体" w:hAnsi="宋体"/>
          <w:szCs w:val="21"/>
        </w:rPr>
        <w:t>控制的归口管理。确保不符合产品要求的产品得到识别和控制，以防止其非预期的使用或交付。</w:t>
      </w:r>
    </w:p>
    <w:p w14:paraId="340B7777">
      <w:pPr>
        <w:autoSpaceDE w:val="0"/>
        <w:autoSpaceDN w:val="0"/>
        <w:spacing w:line="500" w:lineRule="exact"/>
        <w:ind w:left="120" w:leftChars="57" w:firstLine="315" w:firstLineChars="150"/>
        <w:jc w:val="left"/>
        <w:rPr>
          <w:rFonts w:ascii="宋体" w:hAnsi="宋体"/>
          <w:kern w:val="0"/>
          <w:szCs w:val="21"/>
        </w:rPr>
      </w:pPr>
      <w:r>
        <w:rPr>
          <w:rFonts w:hint="eastAsia" w:ascii="宋体" w:hAnsi="宋体"/>
          <w:kern w:val="0"/>
          <w:szCs w:val="21"/>
        </w:rPr>
        <w:t>不合格品审理人员</w:t>
      </w:r>
      <w:r>
        <w:rPr>
          <w:rFonts w:ascii="宋体" w:hAnsi="宋体"/>
          <w:kern w:val="0"/>
          <w:szCs w:val="21"/>
        </w:rPr>
        <w:t>根据不合格的性质及其对产品和服务符合性的影响</w:t>
      </w:r>
      <w:r>
        <w:rPr>
          <w:rFonts w:hint="eastAsia" w:ascii="宋体" w:hAnsi="宋体"/>
          <w:kern w:val="0"/>
          <w:szCs w:val="21"/>
        </w:rPr>
        <w:t>程度作出审理决定，由责任部门</w:t>
      </w:r>
      <w:r>
        <w:rPr>
          <w:rFonts w:ascii="宋体" w:hAnsi="宋体"/>
          <w:kern w:val="0"/>
          <w:szCs w:val="21"/>
        </w:rPr>
        <w:t>采取</w:t>
      </w:r>
      <w:r>
        <w:rPr>
          <w:rFonts w:hint="eastAsia" w:ascii="宋体" w:hAnsi="宋体"/>
          <w:kern w:val="0"/>
          <w:szCs w:val="21"/>
        </w:rPr>
        <w:t>相应的</w:t>
      </w:r>
      <w:r>
        <w:rPr>
          <w:rFonts w:ascii="宋体" w:hAnsi="宋体"/>
          <w:kern w:val="0"/>
          <w:szCs w:val="21"/>
        </w:rPr>
        <w:t>措施。这也适用于在产品交付之后，以及在服务提供期间或之后发现的不合格产品和服务。</w:t>
      </w:r>
    </w:p>
    <w:p w14:paraId="378CE956">
      <w:pPr>
        <w:spacing w:line="500" w:lineRule="exact"/>
        <w:ind w:firstLine="420" w:firstLineChars="200"/>
        <w:rPr>
          <w:rFonts w:ascii="宋体" w:hAnsi="宋体"/>
          <w:szCs w:val="21"/>
        </w:rPr>
      </w:pPr>
      <w:r>
        <w:rPr>
          <w:rFonts w:hint="eastAsia" w:ascii="宋体" w:hAnsi="宋体"/>
          <w:szCs w:val="21"/>
        </w:rPr>
        <w:t>责任</w:t>
      </w:r>
      <w:r>
        <w:rPr>
          <w:rFonts w:ascii="宋体" w:hAnsi="宋体"/>
          <w:szCs w:val="21"/>
        </w:rPr>
        <w:t>部门通过以下</w:t>
      </w:r>
      <w:r>
        <w:rPr>
          <w:rFonts w:hint="eastAsia" w:ascii="宋体" w:hAnsi="宋体"/>
          <w:szCs w:val="21"/>
        </w:rPr>
        <w:t>一种或几种</w:t>
      </w:r>
      <w:r>
        <w:rPr>
          <w:rFonts w:ascii="宋体" w:hAnsi="宋体"/>
          <w:szCs w:val="21"/>
        </w:rPr>
        <w:t>途径处置不合格</w:t>
      </w:r>
      <w:r>
        <w:rPr>
          <w:rFonts w:hint="eastAsia" w:ascii="宋体" w:hAnsi="宋体"/>
          <w:szCs w:val="21"/>
        </w:rPr>
        <w:t>输出</w:t>
      </w:r>
      <w:r>
        <w:rPr>
          <w:rFonts w:ascii="宋体" w:hAnsi="宋体"/>
          <w:szCs w:val="21"/>
        </w:rPr>
        <w:t>：</w:t>
      </w:r>
    </w:p>
    <w:p w14:paraId="4D498B5B">
      <w:pPr>
        <w:autoSpaceDE w:val="0"/>
        <w:autoSpaceDN w:val="0"/>
        <w:adjustRightInd w:val="0"/>
        <w:spacing w:line="440" w:lineRule="exact"/>
        <w:ind w:firstLine="420" w:firstLineChars="200"/>
        <w:jc w:val="left"/>
        <w:rPr>
          <w:rFonts w:ascii="宋体" w:hAnsi="宋体"/>
          <w:kern w:val="0"/>
          <w:szCs w:val="21"/>
          <w:lang w:val="ru-RU"/>
        </w:rPr>
      </w:pPr>
      <w:r>
        <w:rPr>
          <w:rFonts w:hint="eastAsia" w:ascii="宋体" w:hAnsi="宋体"/>
          <w:kern w:val="0"/>
          <w:szCs w:val="21"/>
        </w:rPr>
        <w:t>a)</w:t>
      </w:r>
      <w:r>
        <w:rPr>
          <w:rFonts w:hint="eastAsia" w:ascii="宋体" w:hAnsi="宋体" w:cs="宋体"/>
          <w:kern w:val="0"/>
          <w:szCs w:val="21"/>
          <w:lang w:val="ru-RU"/>
        </w:rPr>
        <w:t>进行返工</w:t>
      </w:r>
      <w:r>
        <w:rPr>
          <w:rFonts w:hint="eastAsia" w:ascii="宋体" w:hAnsi="宋体"/>
          <w:kern w:val="0"/>
          <w:szCs w:val="21"/>
          <w:lang w:val="ru-RU"/>
        </w:rPr>
        <w:t>、返修</w:t>
      </w:r>
      <w:r>
        <w:rPr>
          <w:rFonts w:hint="eastAsia" w:ascii="宋体" w:hAnsi="宋体" w:cs="宋体"/>
          <w:kern w:val="0"/>
          <w:szCs w:val="21"/>
          <w:lang w:val="ru-RU"/>
        </w:rPr>
        <w:t>或其他措施纠正，消除已发现的不合格</w:t>
      </w:r>
      <w:r>
        <w:rPr>
          <w:rFonts w:hint="eastAsia" w:ascii="宋体" w:hAnsi="宋体"/>
          <w:kern w:val="0"/>
          <w:szCs w:val="21"/>
          <w:lang w:val="ru-RU"/>
        </w:rPr>
        <w:t>；</w:t>
      </w:r>
    </w:p>
    <w:p w14:paraId="62A59007">
      <w:pPr>
        <w:spacing w:line="500" w:lineRule="exact"/>
        <w:ind w:firstLine="420" w:firstLineChars="200"/>
        <w:rPr>
          <w:rFonts w:hint="eastAsia" w:ascii="宋体" w:hAnsi="宋体"/>
          <w:kern w:val="0"/>
          <w:szCs w:val="21"/>
        </w:rPr>
      </w:pPr>
      <w:r>
        <w:rPr>
          <w:rFonts w:hint="eastAsia" w:ascii="宋体" w:hAnsi="宋体"/>
          <w:szCs w:val="21"/>
          <w:lang w:val="ru-RU"/>
        </w:rPr>
        <w:t>b)</w:t>
      </w:r>
      <w:r>
        <w:rPr>
          <w:rFonts w:ascii="宋体" w:hAnsi="宋体"/>
          <w:kern w:val="0"/>
          <w:szCs w:val="21"/>
        </w:rPr>
        <w:t>隔离、限制、退货或暂停对产品和服务的提供；</w:t>
      </w:r>
    </w:p>
    <w:p w14:paraId="7C490BD8">
      <w:pPr>
        <w:spacing w:line="500" w:lineRule="exact"/>
        <w:ind w:firstLine="420" w:firstLineChars="200"/>
        <w:rPr>
          <w:rFonts w:hint="eastAsia" w:ascii="宋体" w:hAnsi="宋体"/>
          <w:kern w:val="0"/>
          <w:szCs w:val="21"/>
        </w:rPr>
      </w:pPr>
      <w:r>
        <w:rPr>
          <w:rFonts w:hint="eastAsia" w:ascii="宋体" w:hAnsi="宋体"/>
          <w:kern w:val="0"/>
          <w:szCs w:val="21"/>
        </w:rPr>
        <w:t>c)告知顾客。品质部负责将产品和服务不合格情况告知顾客，让顾客了解不合格输出的性质，以便妥善处理；</w:t>
      </w:r>
    </w:p>
    <w:p w14:paraId="52A24E2E">
      <w:pPr>
        <w:spacing w:line="500" w:lineRule="exact"/>
        <w:ind w:firstLine="420" w:firstLineChars="200"/>
        <w:rPr>
          <w:rFonts w:ascii="宋体" w:hAnsi="宋体"/>
          <w:szCs w:val="21"/>
        </w:rPr>
      </w:pPr>
      <w:r>
        <w:rPr>
          <w:rFonts w:hint="eastAsia" w:ascii="宋体" w:hAnsi="宋体"/>
          <w:szCs w:val="21"/>
        </w:rPr>
        <w:t>d)获得让步接收的授权。</w:t>
      </w:r>
      <w:r>
        <w:rPr>
          <w:rFonts w:ascii="宋体" w:hAnsi="宋体"/>
          <w:szCs w:val="21"/>
        </w:rPr>
        <w:t>经总经理批准，合同要求时经顾客批准，让步使用、放行或接收不合格品</w:t>
      </w:r>
      <w:r>
        <w:rPr>
          <w:rFonts w:hint="eastAsia" w:ascii="宋体" w:hAnsi="宋体"/>
          <w:szCs w:val="21"/>
        </w:rPr>
        <w:t>。</w:t>
      </w:r>
    </w:p>
    <w:p w14:paraId="0E8E98FB">
      <w:pPr>
        <w:spacing w:line="500" w:lineRule="exact"/>
        <w:ind w:firstLine="420" w:firstLineChars="200"/>
        <w:rPr>
          <w:rFonts w:hint="eastAsia" w:ascii="宋体" w:hAnsi="宋体"/>
          <w:szCs w:val="21"/>
        </w:rPr>
      </w:pPr>
      <w:r>
        <w:rPr>
          <w:rFonts w:ascii="宋体" w:hAnsi="宋体"/>
          <w:szCs w:val="21"/>
        </w:rPr>
        <w:t>对不合格</w:t>
      </w:r>
      <w:r>
        <w:rPr>
          <w:rFonts w:hint="eastAsia" w:ascii="宋体" w:hAnsi="宋体"/>
          <w:szCs w:val="21"/>
        </w:rPr>
        <w:t>输出</w:t>
      </w:r>
      <w:r>
        <w:rPr>
          <w:rFonts w:ascii="宋体" w:hAnsi="宋体"/>
          <w:szCs w:val="21"/>
        </w:rPr>
        <w:t>得到纠正后，如采取返工、返修后由生产工人再次提交检验员验证，以证实其符合要求。</w:t>
      </w:r>
    </w:p>
    <w:p w14:paraId="1C22C67D">
      <w:pPr>
        <w:autoSpaceDE w:val="0"/>
        <w:autoSpaceDN w:val="0"/>
        <w:spacing w:line="500" w:lineRule="exact"/>
        <w:ind w:firstLine="420" w:firstLineChars="200"/>
        <w:jc w:val="left"/>
        <w:rPr>
          <w:rFonts w:hint="eastAsia" w:ascii="楷体_GB2312" w:hAnsi="宋体" w:eastAsia="楷体_GB2312"/>
          <w:szCs w:val="21"/>
          <w:highlight w:val="none"/>
        </w:rPr>
      </w:pPr>
      <w:r>
        <w:rPr>
          <w:rFonts w:hint="eastAsia" w:ascii="楷体_GB2312" w:hAnsi="宋体" w:eastAsia="楷体_GB2312"/>
          <w:szCs w:val="21"/>
          <w:highlight w:val="none"/>
        </w:rPr>
        <w:t>对于未经顾客授权的让步使用，由品质部征得顾客同意；本公司关键特性不允许让步使用。</w:t>
      </w:r>
    </w:p>
    <w:p w14:paraId="2D97BA2A">
      <w:pPr>
        <w:spacing w:line="500" w:lineRule="exact"/>
        <w:ind w:firstLine="495" w:firstLineChars="236"/>
        <w:rPr>
          <w:rFonts w:hint="eastAsia" w:ascii="楷体_GB2312" w:hAnsi="宋体" w:eastAsia="楷体_GB2312" w:cs="Times New Roman"/>
          <w:szCs w:val="21"/>
          <w:highlight w:val="none"/>
          <w:lang w:val="en-US" w:eastAsia="zh-CN"/>
        </w:rPr>
      </w:pPr>
      <w:r>
        <w:rPr>
          <w:rFonts w:hint="eastAsia" w:ascii="楷体_GB2312" w:hAnsi="宋体" w:eastAsia="楷体_GB2312" w:cs="Times New Roman"/>
          <w:szCs w:val="21"/>
          <w:highlight w:val="none"/>
          <w:lang w:val="en-US" w:eastAsia="zh-CN"/>
        </w:rPr>
        <w:t>公司根据GJB571A-2005《不合格品管理》和产品质量特性的要求，成立不合格品审理系统：一级为不合格品审理小组、二级为不合格品审理委员会。不合格品审理机构及其权限明确如下：</w:t>
      </w:r>
    </w:p>
    <w:p w14:paraId="376F79AE">
      <w:pPr>
        <w:spacing w:line="500" w:lineRule="exact"/>
        <w:ind w:firstLine="495" w:firstLineChars="236"/>
        <w:rPr>
          <w:rFonts w:hint="eastAsia" w:ascii="楷体_GB2312" w:hAnsi="宋体" w:eastAsia="楷体_GB2312" w:cs="Times New Roman"/>
          <w:szCs w:val="21"/>
          <w:highlight w:val="none"/>
        </w:rPr>
      </w:pPr>
      <w:r>
        <w:rPr>
          <w:rFonts w:hint="eastAsia" w:ascii="楷体_GB2312" w:hAnsi="宋体" w:eastAsia="楷体_GB2312" w:cs="Times New Roman"/>
          <w:szCs w:val="21"/>
          <w:highlight w:val="none"/>
        </w:rPr>
        <w:t>不合格</w:t>
      </w:r>
      <w:r>
        <w:rPr>
          <w:rFonts w:hint="eastAsia" w:ascii="楷体_GB2312" w:hAnsi="宋体" w:eastAsia="楷体_GB2312" w:cs="Times New Roman"/>
          <w:szCs w:val="21"/>
          <w:highlight w:val="none"/>
          <w:lang w:eastAsia="zh-CN"/>
        </w:rPr>
        <w:t>品</w:t>
      </w:r>
      <w:r>
        <w:rPr>
          <w:rFonts w:hint="eastAsia" w:ascii="楷体_GB2312" w:hAnsi="宋体" w:eastAsia="楷体_GB2312" w:cs="Times New Roman"/>
          <w:szCs w:val="21"/>
          <w:highlight w:val="none"/>
        </w:rPr>
        <w:t>审理小组职责</w:t>
      </w:r>
    </w:p>
    <w:p w14:paraId="0C463054">
      <w:pPr>
        <w:spacing w:line="500" w:lineRule="exact"/>
        <w:ind w:firstLine="495" w:firstLineChars="236"/>
        <w:rPr>
          <w:rFonts w:hint="eastAsia" w:ascii="楷体_GB2312" w:hAnsi="宋体" w:eastAsia="楷体_GB2312" w:cs="Times New Roman"/>
          <w:szCs w:val="21"/>
          <w:highlight w:val="none"/>
          <w:lang w:val="en-US" w:eastAsia="zh-CN"/>
        </w:rPr>
      </w:pPr>
      <w:r>
        <w:rPr>
          <w:rFonts w:hint="eastAsia" w:ascii="楷体_GB2312" w:hAnsi="宋体" w:eastAsia="楷体_GB2312" w:cs="Times New Roman"/>
          <w:szCs w:val="21"/>
          <w:highlight w:val="none"/>
          <w:lang w:val="en-US" w:eastAsia="zh-CN"/>
        </w:rPr>
        <w:t>1)负责处理可返工或明显报废的轻度不合格品。</w:t>
      </w:r>
    </w:p>
    <w:p w14:paraId="62F509CA">
      <w:pPr>
        <w:spacing w:line="500" w:lineRule="exact"/>
        <w:ind w:firstLine="495" w:firstLineChars="236"/>
        <w:rPr>
          <w:rFonts w:hint="eastAsia" w:ascii="楷体_GB2312" w:hAnsi="宋体" w:eastAsia="楷体_GB2312" w:cs="Times New Roman"/>
          <w:szCs w:val="21"/>
          <w:highlight w:val="none"/>
          <w:lang w:val="en-US" w:eastAsia="zh-CN"/>
        </w:rPr>
      </w:pPr>
      <w:r>
        <w:rPr>
          <w:rFonts w:hint="eastAsia" w:ascii="楷体_GB2312" w:hAnsi="宋体" w:eastAsia="楷体_GB2312" w:cs="Times New Roman"/>
          <w:szCs w:val="21"/>
          <w:highlight w:val="none"/>
          <w:lang w:val="en-US" w:eastAsia="zh-CN"/>
        </w:rPr>
        <w:t>2)负责将职责范围内不能处置的不合格品提交不合格品审理委员会。</w:t>
      </w:r>
    </w:p>
    <w:p w14:paraId="5971920D">
      <w:pPr>
        <w:spacing w:line="500" w:lineRule="exact"/>
        <w:ind w:firstLine="495" w:firstLineChars="236"/>
        <w:rPr>
          <w:rFonts w:hint="eastAsia" w:ascii="楷体_GB2312" w:hAnsi="宋体" w:eastAsia="楷体_GB2312" w:cs="Times New Roman"/>
          <w:szCs w:val="21"/>
          <w:highlight w:val="none"/>
          <w:lang w:val="en-US" w:eastAsia="zh-CN"/>
        </w:rPr>
      </w:pPr>
      <w:r>
        <w:rPr>
          <w:rFonts w:hint="eastAsia" w:ascii="楷体_GB2312" w:hAnsi="宋体" w:eastAsia="楷体_GB2312" w:cs="Times New Roman"/>
          <w:szCs w:val="21"/>
          <w:highlight w:val="none"/>
          <w:lang w:val="en-US" w:eastAsia="zh-CN"/>
        </w:rPr>
        <w:t>b)</w:t>
      </w:r>
      <w:r>
        <w:rPr>
          <w:rFonts w:hint="eastAsia" w:ascii="楷体_GB2312" w:hAnsi="宋体" w:eastAsia="楷体_GB2312" w:cs="Times New Roman"/>
          <w:szCs w:val="21"/>
          <w:highlight w:val="none"/>
        </w:rPr>
        <w:t>不合格品审理委员会职责</w:t>
      </w:r>
    </w:p>
    <w:p w14:paraId="35FC7D1D">
      <w:pPr>
        <w:spacing w:line="500" w:lineRule="exact"/>
        <w:ind w:firstLine="495" w:firstLineChars="236"/>
        <w:rPr>
          <w:rFonts w:hint="eastAsia" w:ascii="楷体_GB2312" w:hAnsi="宋体" w:eastAsia="楷体_GB2312" w:cs="Times New Roman"/>
          <w:szCs w:val="21"/>
          <w:highlight w:val="none"/>
          <w:lang w:val="en-US" w:eastAsia="zh-CN"/>
        </w:rPr>
      </w:pPr>
      <w:r>
        <w:rPr>
          <w:rFonts w:hint="eastAsia" w:ascii="楷体_GB2312" w:hAnsi="宋体" w:eastAsia="楷体_GB2312" w:cs="Times New Roman"/>
          <w:szCs w:val="21"/>
          <w:highlight w:val="none"/>
          <w:lang w:val="en-US" w:eastAsia="zh-CN"/>
        </w:rPr>
        <w:t>1)负责审理由审理小组（或人员）提交的不合格品。</w:t>
      </w:r>
    </w:p>
    <w:p w14:paraId="18D8D1CD">
      <w:pPr>
        <w:spacing w:line="500" w:lineRule="exact"/>
        <w:ind w:firstLine="495" w:firstLineChars="236"/>
        <w:rPr>
          <w:rFonts w:hint="eastAsia" w:ascii="楷体_GB2312" w:hAnsi="宋体" w:eastAsia="楷体_GB2312" w:cs="Times New Roman"/>
          <w:szCs w:val="21"/>
          <w:highlight w:val="none"/>
          <w:lang w:val="en-US" w:eastAsia="zh-CN"/>
        </w:rPr>
      </w:pPr>
      <w:r>
        <w:rPr>
          <w:rFonts w:hint="eastAsia" w:ascii="楷体_GB2312" w:hAnsi="宋体" w:eastAsia="楷体_GB2312" w:cs="Times New Roman"/>
          <w:szCs w:val="21"/>
          <w:highlight w:val="none"/>
          <w:lang w:val="en-US" w:eastAsia="zh-CN"/>
        </w:rPr>
        <w:t>2)负责对重大问题制订的纠正与预防措施进行审查。</w:t>
      </w:r>
    </w:p>
    <w:p w14:paraId="701A0FFD">
      <w:pPr>
        <w:spacing w:line="500" w:lineRule="exact"/>
        <w:ind w:firstLine="495" w:firstLineChars="236"/>
        <w:rPr>
          <w:rFonts w:hint="eastAsia" w:ascii="楷体_GB2312" w:hAnsi="宋体" w:eastAsia="楷体_GB2312" w:cs="Times New Roman"/>
          <w:szCs w:val="21"/>
          <w:highlight w:val="none"/>
          <w:lang w:val="en-US" w:eastAsia="zh-CN"/>
        </w:rPr>
      </w:pPr>
      <w:r>
        <w:rPr>
          <w:rFonts w:hint="eastAsia" w:ascii="楷体_GB2312" w:hAnsi="宋体" w:eastAsia="楷体_GB2312" w:cs="Times New Roman"/>
          <w:szCs w:val="21"/>
          <w:highlight w:val="none"/>
          <w:lang w:eastAsia="zh-CN"/>
        </w:rPr>
        <w:t>不</w:t>
      </w:r>
      <w:r>
        <w:rPr>
          <w:rFonts w:hint="eastAsia" w:ascii="楷体_GB2312" w:hAnsi="宋体" w:eastAsia="楷体_GB2312" w:cs="Times New Roman"/>
          <w:szCs w:val="21"/>
          <w:highlight w:val="none"/>
        </w:rPr>
        <w:t>合格品的审理结论，仅对当时被审理的不合格品有效，不能作为以后审理不合格品的依据，也不影响顾客对产品的判定。</w:t>
      </w:r>
    </w:p>
    <w:p w14:paraId="6863FE58">
      <w:pPr>
        <w:spacing w:line="500" w:lineRule="exact"/>
        <w:ind w:firstLine="495" w:firstLineChars="236"/>
        <w:rPr>
          <w:rFonts w:hint="eastAsia" w:ascii="楷体_GB2312" w:hAnsi="宋体" w:eastAsia="楷体_GB2312" w:cs="Times New Roman"/>
          <w:szCs w:val="21"/>
          <w:highlight w:val="none"/>
          <w:lang w:val="en-US" w:eastAsia="zh-CN"/>
        </w:rPr>
      </w:pPr>
      <w:r>
        <w:rPr>
          <w:rFonts w:hint="eastAsia" w:ascii="楷体_GB2312" w:hAnsi="宋体" w:eastAsia="楷体_GB2312" w:cs="Times New Roman"/>
          <w:szCs w:val="21"/>
          <w:highlight w:val="none"/>
          <w:lang w:val="en-US" w:eastAsia="zh-CN"/>
        </w:rPr>
        <w:t>如果要改变其评审结论时，需由总经理签署书面决定，对顾客关注的不合格品评审结论更改，由品质部征得顾客同意。</w:t>
      </w:r>
    </w:p>
    <w:p w14:paraId="215A2A6A">
      <w:pPr>
        <w:spacing w:line="500" w:lineRule="exact"/>
        <w:ind w:firstLine="495" w:firstLineChars="236"/>
        <w:rPr>
          <w:rFonts w:hint="eastAsia" w:ascii="楷体_GB2312" w:hAnsi="宋体" w:eastAsia="楷体_GB2312" w:cs="Times New Roman"/>
          <w:szCs w:val="21"/>
          <w:highlight w:val="none"/>
        </w:rPr>
      </w:pPr>
      <w:r>
        <w:rPr>
          <w:rFonts w:hint="eastAsia" w:ascii="楷体_GB2312" w:hAnsi="宋体" w:eastAsia="楷体_GB2312" w:cs="Times New Roman"/>
          <w:szCs w:val="21"/>
          <w:highlight w:val="none"/>
        </w:rPr>
        <w:t>参与不合格品</w:t>
      </w:r>
      <w:r>
        <w:rPr>
          <w:rFonts w:hint="eastAsia" w:ascii="楷体_GB2312" w:hAnsi="宋体" w:eastAsia="楷体_GB2312" w:cs="Times New Roman"/>
          <w:szCs w:val="21"/>
          <w:highlight w:val="none"/>
          <w:lang w:eastAsia="zh-CN"/>
        </w:rPr>
        <w:t>审理</w:t>
      </w:r>
      <w:r>
        <w:rPr>
          <w:rFonts w:hint="eastAsia" w:ascii="楷体_GB2312" w:hAnsi="宋体" w:eastAsia="楷体_GB2312" w:cs="Times New Roman"/>
          <w:szCs w:val="21"/>
          <w:highlight w:val="none"/>
        </w:rPr>
        <w:t>的人员，由管理部负责进行资格确认，由总经理</w:t>
      </w:r>
      <w:r>
        <w:rPr>
          <w:rFonts w:hint="eastAsia" w:ascii="楷体_GB2312" w:hAnsi="宋体" w:eastAsia="楷体_GB2312" w:cs="Times New Roman"/>
          <w:szCs w:val="21"/>
          <w:highlight w:val="none"/>
          <w:lang w:eastAsia="zh-CN"/>
        </w:rPr>
        <w:t>批准</w:t>
      </w:r>
      <w:r>
        <w:rPr>
          <w:rFonts w:hint="eastAsia" w:ascii="楷体_GB2312" w:hAnsi="宋体" w:eastAsia="楷体_GB2312" w:cs="Times New Roman"/>
          <w:szCs w:val="21"/>
          <w:highlight w:val="none"/>
        </w:rPr>
        <w:t>授权，并由顾客代表确认同意后发布。</w:t>
      </w:r>
    </w:p>
    <w:p w14:paraId="0E7EA824">
      <w:pPr>
        <w:spacing w:line="500" w:lineRule="exact"/>
        <w:ind w:firstLine="495" w:firstLineChars="236"/>
        <w:rPr>
          <w:rFonts w:hint="eastAsia" w:ascii="楷体_GB2312" w:hAnsi="宋体" w:eastAsia="楷体_GB2312"/>
          <w:szCs w:val="21"/>
          <w:highlight w:val="none"/>
        </w:rPr>
      </w:pPr>
      <w:r>
        <w:rPr>
          <w:rFonts w:hint="eastAsia" w:ascii="楷体_GB2312" w:hAnsi="宋体" w:eastAsia="楷体_GB2312"/>
          <w:szCs w:val="21"/>
          <w:highlight w:val="none"/>
        </w:rPr>
        <w:t>不合格品的评审结论，仅对当时被评审的不合格品有效，不能作为以后评审不合格品的依据，也不影响顾客对产品和服务的判定。</w:t>
      </w:r>
    </w:p>
    <w:p w14:paraId="1A5AEA41">
      <w:pPr>
        <w:autoSpaceDE w:val="0"/>
        <w:autoSpaceDN w:val="0"/>
        <w:spacing w:line="500" w:lineRule="exact"/>
        <w:jc w:val="left"/>
        <w:rPr>
          <w:rFonts w:ascii="宋体" w:hAnsi="宋体"/>
          <w:kern w:val="0"/>
          <w:szCs w:val="21"/>
        </w:rPr>
      </w:pPr>
      <w:r>
        <w:rPr>
          <w:rFonts w:ascii="宋体" w:hAnsi="宋体"/>
          <w:kern w:val="0"/>
          <w:szCs w:val="21"/>
        </w:rPr>
        <w:t xml:space="preserve">8.7.2 </w:t>
      </w:r>
      <w:r>
        <w:rPr>
          <w:rFonts w:hint="eastAsia" w:ascii="宋体" w:hAnsi="宋体"/>
          <w:kern w:val="0"/>
          <w:szCs w:val="21"/>
        </w:rPr>
        <w:t xml:space="preserve"> 品质部负责</w:t>
      </w:r>
      <w:r>
        <w:rPr>
          <w:rFonts w:ascii="宋体" w:hAnsi="宋体"/>
          <w:kern w:val="0"/>
          <w:szCs w:val="21"/>
        </w:rPr>
        <w:t>保留下列成文信息</w:t>
      </w:r>
      <w:r>
        <w:rPr>
          <w:rFonts w:hint="eastAsia" w:ascii="宋体" w:hAnsi="宋体"/>
          <w:kern w:val="0"/>
          <w:szCs w:val="21"/>
        </w:rPr>
        <w:t>：</w:t>
      </w:r>
    </w:p>
    <w:p w14:paraId="63F83CF9">
      <w:pPr>
        <w:autoSpaceDE w:val="0"/>
        <w:autoSpaceDN w:val="0"/>
        <w:spacing w:line="500" w:lineRule="exact"/>
        <w:ind w:firstLine="525" w:firstLineChars="250"/>
        <w:jc w:val="left"/>
        <w:rPr>
          <w:rFonts w:ascii="宋体" w:hAnsi="宋体"/>
          <w:kern w:val="0"/>
          <w:szCs w:val="21"/>
        </w:rPr>
      </w:pPr>
      <w:r>
        <w:rPr>
          <w:rFonts w:ascii="宋体" w:hAnsi="宋体"/>
          <w:kern w:val="0"/>
          <w:szCs w:val="21"/>
        </w:rPr>
        <w:t>a</w:t>
      </w:r>
      <w:r>
        <w:rPr>
          <w:rFonts w:hint="eastAsia" w:ascii="宋体" w:hAnsi="宋体"/>
          <w:kern w:val="0"/>
          <w:szCs w:val="21"/>
        </w:rPr>
        <w:t>)在不合格品评审单的不合格性质栏</w:t>
      </w:r>
      <w:r>
        <w:rPr>
          <w:rFonts w:ascii="宋体" w:hAnsi="宋体"/>
          <w:kern w:val="0"/>
          <w:szCs w:val="21"/>
        </w:rPr>
        <w:t>描述不合格</w:t>
      </w:r>
      <w:r>
        <w:rPr>
          <w:rFonts w:hint="eastAsia" w:ascii="宋体" w:hAnsi="宋体"/>
          <w:kern w:val="0"/>
          <w:szCs w:val="21"/>
        </w:rPr>
        <w:t>项目、不合格事实、不符合要求的程度（量化数据）；</w:t>
      </w:r>
    </w:p>
    <w:p w14:paraId="6850C913">
      <w:pPr>
        <w:autoSpaceDE w:val="0"/>
        <w:autoSpaceDN w:val="0"/>
        <w:spacing w:line="500" w:lineRule="exact"/>
        <w:ind w:firstLine="525" w:firstLineChars="250"/>
        <w:jc w:val="left"/>
        <w:rPr>
          <w:rFonts w:ascii="宋体" w:hAnsi="宋体"/>
          <w:kern w:val="0"/>
          <w:szCs w:val="21"/>
        </w:rPr>
      </w:pPr>
      <w:r>
        <w:rPr>
          <w:rFonts w:ascii="宋体" w:hAnsi="宋体"/>
          <w:kern w:val="0"/>
          <w:szCs w:val="21"/>
        </w:rPr>
        <w:t>b</w:t>
      </w:r>
      <w:r>
        <w:rPr>
          <w:rFonts w:hint="eastAsia" w:ascii="宋体" w:hAnsi="宋体"/>
          <w:kern w:val="0"/>
          <w:szCs w:val="21"/>
        </w:rPr>
        <w:t>)在不合格品评审单评审意见栏准确描述评审意见及</w:t>
      </w:r>
      <w:r>
        <w:rPr>
          <w:rFonts w:ascii="宋体" w:hAnsi="宋体"/>
          <w:kern w:val="0"/>
          <w:szCs w:val="21"/>
        </w:rPr>
        <w:t>所采取的措施</w:t>
      </w:r>
      <w:r>
        <w:rPr>
          <w:rFonts w:hint="eastAsia" w:ascii="宋体" w:hAnsi="宋体"/>
          <w:kern w:val="0"/>
          <w:szCs w:val="21"/>
        </w:rPr>
        <w:t>。如纠正、报废、返工、返修、隔离、限制、退货或暂停对产品和服务的提供、告知顾客等结论，根据评审结论制定针对性的纠正措施；</w:t>
      </w:r>
    </w:p>
    <w:p w14:paraId="0554D5D8">
      <w:pPr>
        <w:autoSpaceDE w:val="0"/>
        <w:autoSpaceDN w:val="0"/>
        <w:spacing w:line="500" w:lineRule="exact"/>
        <w:ind w:firstLine="420" w:firstLineChars="200"/>
        <w:jc w:val="left"/>
        <w:rPr>
          <w:rFonts w:ascii="宋体" w:hAnsi="宋体"/>
          <w:kern w:val="0"/>
          <w:szCs w:val="21"/>
        </w:rPr>
      </w:pPr>
      <w:r>
        <w:rPr>
          <w:rFonts w:ascii="宋体" w:hAnsi="宋体"/>
          <w:kern w:val="0"/>
          <w:szCs w:val="21"/>
        </w:rPr>
        <w:t>c</w:t>
      </w:r>
      <w:r>
        <w:rPr>
          <w:rFonts w:hint="eastAsia" w:ascii="宋体" w:hAnsi="宋体"/>
          <w:kern w:val="0"/>
          <w:szCs w:val="21"/>
        </w:rPr>
        <w:t>)</w:t>
      </w:r>
      <w:r>
        <w:rPr>
          <w:rFonts w:ascii="宋体" w:hAnsi="宋体"/>
          <w:kern w:val="0"/>
          <w:szCs w:val="21"/>
        </w:rPr>
        <w:t>描述获得的让步</w:t>
      </w:r>
      <w:r>
        <w:rPr>
          <w:rFonts w:hint="eastAsia" w:ascii="宋体" w:hAnsi="宋体"/>
          <w:kern w:val="0"/>
          <w:szCs w:val="21"/>
        </w:rPr>
        <w:t>。获得让步接收、降级使用的产品和服务，应详细描述让步的相关信息，如让步的数量、批次、时限、让步方、处理情况等；</w:t>
      </w:r>
    </w:p>
    <w:p w14:paraId="6CA557B1">
      <w:pPr>
        <w:autoSpaceDE w:val="0"/>
        <w:autoSpaceDN w:val="0"/>
        <w:spacing w:line="500" w:lineRule="exact"/>
        <w:ind w:firstLine="420" w:firstLineChars="200"/>
        <w:jc w:val="left"/>
        <w:rPr>
          <w:rFonts w:hint="eastAsia"/>
        </w:rPr>
      </w:pPr>
      <w:r>
        <w:rPr>
          <w:rFonts w:ascii="宋体" w:hAnsi="宋体"/>
          <w:kern w:val="0"/>
          <w:szCs w:val="21"/>
        </w:rPr>
        <w:t>d</w:t>
      </w:r>
      <w:r>
        <w:rPr>
          <w:rFonts w:hint="eastAsia" w:ascii="宋体" w:hAnsi="宋体"/>
          <w:kern w:val="0"/>
          <w:szCs w:val="21"/>
        </w:rPr>
        <w:t>)</w:t>
      </w:r>
      <w:r>
        <w:rPr>
          <w:rFonts w:ascii="宋体" w:hAnsi="宋体"/>
          <w:kern w:val="0"/>
          <w:szCs w:val="21"/>
        </w:rPr>
        <w:t>识别处置不合格的授权。</w:t>
      </w:r>
      <w:r>
        <w:rPr>
          <w:rFonts w:hint="eastAsia" w:ascii="宋体" w:hAnsi="宋体"/>
          <w:kern w:val="0"/>
          <w:szCs w:val="21"/>
        </w:rPr>
        <w:t>在不合格品评审单评审意见栏签署经授权的不合格品评审人员的姓名、日期。</w:t>
      </w:r>
    </w:p>
    <w:p w14:paraId="46257596">
      <w:pPr>
        <w:pStyle w:val="2"/>
        <w:jc w:val="left"/>
      </w:pPr>
      <w:bookmarkStart w:id="184" w:name="_Toc536539718"/>
      <w:bookmarkStart w:id="185" w:name="_Toc17862"/>
      <w:r>
        <w:rPr>
          <w:rFonts w:hint="eastAsia"/>
        </w:rPr>
        <w:t>9绩效评价</w:t>
      </w:r>
      <w:bookmarkEnd w:id="184"/>
      <w:bookmarkEnd w:id="185"/>
    </w:p>
    <w:p w14:paraId="1EDDE9E2">
      <w:pPr>
        <w:pStyle w:val="3"/>
      </w:pPr>
      <w:bookmarkStart w:id="186" w:name="_Toc13432"/>
      <w:bookmarkStart w:id="187" w:name="_Toc536539719"/>
      <w:r>
        <w:rPr>
          <w:rFonts w:hint="eastAsia"/>
        </w:rPr>
        <w:t>9.1 监视、测量、分析和评价</w:t>
      </w:r>
      <w:bookmarkEnd w:id="186"/>
      <w:bookmarkEnd w:id="187"/>
    </w:p>
    <w:p w14:paraId="647536B7">
      <w:pPr>
        <w:pStyle w:val="4"/>
      </w:pPr>
      <w:bookmarkStart w:id="188" w:name="_Toc536539720"/>
      <w:bookmarkStart w:id="189" w:name="_Toc18147"/>
      <w:r>
        <w:rPr>
          <w:rFonts w:hint="eastAsia"/>
        </w:rPr>
        <w:t>9.1.1 总则</w:t>
      </w:r>
      <w:bookmarkEnd w:id="188"/>
      <w:bookmarkEnd w:id="189"/>
    </w:p>
    <w:p w14:paraId="5CDD39C2">
      <w:pPr>
        <w:widowControl/>
        <w:spacing w:line="360" w:lineRule="auto"/>
        <w:ind w:firstLine="420" w:firstLineChars="200"/>
        <w:jc w:val="left"/>
        <w:rPr>
          <w:rFonts w:ascii="Arial" w:hAnsi="Arial" w:cs="Arial"/>
          <w:kern w:val="0"/>
          <w:szCs w:val="21"/>
        </w:rPr>
      </w:pPr>
      <w:r>
        <w:rPr>
          <w:rFonts w:hint="eastAsia" w:ascii="Arial" w:hAnsi="Arial" w:cs="Arial"/>
          <w:kern w:val="0"/>
          <w:szCs w:val="21"/>
        </w:rPr>
        <w:t>公司应确定：</w:t>
      </w:r>
    </w:p>
    <w:p w14:paraId="783CC5D7">
      <w:pPr>
        <w:widowControl/>
        <w:numPr>
          <w:ilvl w:val="4"/>
          <w:numId w:val="14"/>
        </w:numPr>
        <w:spacing w:line="360" w:lineRule="auto"/>
        <w:ind w:hanging="2094"/>
        <w:jc w:val="left"/>
        <w:rPr>
          <w:rFonts w:ascii="宋体" w:hAnsi="宋体" w:cs="Arial"/>
          <w:kern w:val="0"/>
          <w:szCs w:val="21"/>
        </w:rPr>
      </w:pPr>
      <w:r>
        <w:rPr>
          <w:rFonts w:hint="eastAsia" w:ascii="宋体" w:hAnsi="宋体" w:cs="Arial"/>
          <w:kern w:val="0"/>
          <w:szCs w:val="21"/>
        </w:rPr>
        <w:t>需要监视和测量的对象；</w:t>
      </w:r>
    </w:p>
    <w:p w14:paraId="1697A840">
      <w:pPr>
        <w:widowControl/>
        <w:numPr>
          <w:ilvl w:val="4"/>
          <w:numId w:val="14"/>
        </w:numPr>
        <w:spacing w:line="360" w:lineRule="auto"/>
        <w:ind w:hanging="2094"/>
        <w:jc w:val="left"/>
        <w:rPr>
          <w:rFonts w:ascii="宋体" w:hAnsi="宋体" w:cs="Arial"/>
          <w:kern w:val="0"/>
          <w:szCs w:val="21"/>
        </w:rPr>
      </w:pPr>
      <w:r>
        <w:rPr>
          <w:rFonts w:hint="eastAsia" w:ascii="宋体" w:hAnsi="宋体" w:cs="Arial"/>
          <w:kern w:val="0"/>
          <w:szCs w:val="21"/>
        </w:rPr>
        <w:t>监视、测量、分析和评价的方法，适用时，以确保有效的结果；</w:t>
      </w:r>
    </w:p>
    <w:p w14:paraId="2A727382">
      <w:pPr>
        <w:widowControl/>
        <w:numPr>
          <w:ilvl w:val="4"/>
          <w:numId w:val="14"/>
        </w:numPr>
        <w:spacing w:line="360" w:lineRule="auto"/>
        <w:ind w:hanging="2094"/>
        <w:jc w:val="left"/>
        <w:rPr>
          <w:rFonts w:ascii="宋体" w:hAnsi="宋体" w:cs="Arial"/>
          <w:kern w:val="0"/>
          <w:szCs w:val="21"/>
        </w:rPr>
      </w:pPr>
      <w:r>
        <w:rPr>
          <w:rFonts w:hint="eastAsia" w:ascii="宋体" w:hAnsi="宋体" w:cs="Arial"/>
          <w:kern w:val="0"/>
          <w:szCs w:val="21"/>
        </w:rPr>
        <w:t>何时进行监视和测量；</w:t>
      </w:r>
    </w:p>
    <w:p w14:paraId="0D690829">
      <w:pPr>
        <w:widowControl/>
        <w:numPr>
          <w:ilvl w:val="4"/>
          <w:numId w:val="14"/>
        </w:numPr>
        <w:spacing w:line="360" w:lineRule="auto"/>
        <w:ind w:hanging="2094"/>
        <w:jc w:val="left"/>
        <w:rPr>
          <w:rFonts w:ascii="宋体" w:hAnsi="宋体" w:cs="Arial"/>
          <w:kern w:val="0"/>
          <w:szCs w:val="21"/>
        </w:rPr>
      </w:pPr>
      <w:r>
        <w:rPr>
          <w:rFonts w:hint="eastAsia" w:ascii="宋体" w:hAnsi="宋体" w:cs="Arial"/>
          <w:kern w:val="0"/>
          <w:szCs w:val="21"/>
        </w:rPr>
        <w:t>何时对监视和测量的结果进行分析和评价。</w:t>
      </w:r>
    </w:p>
    <w:p w14:paraId="226D3CA1">
      <w:pPr>
        <w:widowControl/>
        <w:spacing w:line="360" w:lineRule="auto"/>
        <w:ind w:firstLine="420" w:firstLineChars="200"/>
        <w:jc w:val="left"/>
        <w:rPr>
          <w:rFonts w:ascii="Arial" w:hAnsi="Arial" w:cs="Arial"/>
          <w:kern w:val="0"/>
          <w:szCs w:val="21"/>
        </w:rPr>
      </w:pPr>
      <w:r>
        <w:rPr>
          <w:rFonts w:hint="eastAsia" w:ascii="Arial" w:hAnsi="Arial" w:cs="Arial"/>
          <w:kern w:val="0"/>
          <w:szCs w:val="21"/>
        </w:rPr>
        <w:t>公司应确保监视和测量活动按照规定的要求实施，并应保留适当的成文信息作为结果的证据。</w:t>
      </w:r>
    </w:p>
    <w:p w14:paraId="41B07B3B">
      <w:pPr>
        <w:widowControl/>
        <w:spacing w:line="360" w:lineRule="auto"/>
        <w:ind w:firstLine="420" w:firstLineChars="200"/>
        <w:jc w:val="left"/>
        <w:rPr>
          <w:rFonts w:hint="eastAsia" w:ascii="Arial" w:hAnsi="Arial" w:cs="Arial"/>
          <w:kern w:val="0"/>
          <w:szCs w:val="21"/>
        </w:rPr>
      </w:pPr>
      <w:r>
        <w:rPr>
          <w:rFonts w:hint="eastAsia" w:ascii="Arial" w:hAnsi="Arial" w:cs="Arial"/>
          <w:kern w:val="0"/>
          <w:szCs w:val="21"/>
        </w:rPr>
        <w:t>公司应评价管理绩效和质量管理体系的有效性。</w:t>
      </w:r>
    </w:p>
    <w:p w14:paraId="2041D904">
      <w:pPr>
        <w:widowControl/>
        <w:spacing w:line="360" w:lineRule="auto"/>
        <w:ind w:firstLine="420" w:firstLineChars="200"/>
        <w:jc w:val="left"/>
        <w:rPr>
          <w:rFonts w:hint="eastAsia" w:ascii="Arial" w:hAnsi="Arial" w:cs="Arial"/>
          <w:kern w:val="0"/>
          <w:szCs w:val="21"/>
        </w:rPr>
      </w:pPr>
      <w:r>
        <w:rPr>
          <w:rFonts w:hint="eastAsia" w:ascii="Arial" w:hAnsi="Arial" w:cs="Arial"/>
          <w:kern w:val="0"/>
          <w:szCs w:val="21"/>
        </w:rPr>
        <w:t>品质部负责建立、实施和保持</w:t>
      </w:r>
      <w:r>
        <w:rPr>
          <w:rFonts w:hint="eastAsia" w:ascii="Arial" w:hAnsi="Arial" w:cs="Arial"/>
          <w:kern w:val="0"/>
          <w:szCs w:val="21"/>
          <w:highlight w:val="yellow"/>
        </w:rPr>
        <w:t>《</w:t>
      </w:r>
      <w:r>
        <w:rPr>
          <w:rFonts w:hint="eastAsia" w:ascii="宋体" w:hAnsi="宋体"/>
          <w:highlight w:val="yellow"/>
        </w:rPr>
        <w:t>过程的监视、测量、分析和评价控制</w:t>
      </w:r>
      <w:r>
        <w:rPr>
          <w:rFonts w:hint="eastAsia" w:ascii="Arial" w:hAnsi="Arial" w:cs="Arial"/>
          <w:kern w:val="0"/>
          <w:szCs w:val="21"/>
          <w:highlight w:val="yellow"/>
        </w:rPr>
        <w:t>程序》</w:t>
      </w:r>
      <w:r>
        <w:rPr>
          <w:rFonts w:hint="eastAsia" w:ascii="Arial" w:hAnsi="Arial" w:cs="Arial"/>
          <w:kern w:val="0"/>
          <w:szCs w:val="21"/>
        </w:rPr>
        <w:t>，以明确过程的监视和测量的职责、流程、方法等要求。</w:t>
      </w:r>
    </w:p>
    <w:p w14:paraId="23D71D70">
      <w:pPr>
        <w:pStyle w:val="4"/>
      </w:pPr>
      <w:bookmarkStart w:id="190" w:name="_Toc975"/>
      <w:bookmarkStart w:id="191" w:name="_Toc536539721"/>
      <w:r>
        <w:rPr>
          <w:rFonts w:hint="eastAsia"/>
        </w:rPr>
        <w:t>9.1.2 顾客满意</w:t>
      </w:r>
      <w:bookmarkEnd w:id="190"/>
      <w:bookmarkEnd w:id="191"/>
    </w:p>
    <w:p w14:paraId="53241169">
      <w:pPr>
        <w:widowControl/>
        <w:spacing w:line="360" w:lineRule="auto"/>
        <w:ind w:firstLine="420" w:firstLineChars="200"/>
        <w:jc w:val="left"/>
        <w:rPr>
          <w:rFonts w:ascii="Arial" w:hAnsi="Arial" w:cs="Arial"/>
          <w:kern w:val="0"/>
          <w:szCs w:val="21"/>
        </w:rPr>
      </w:pPr>
      <w:r>
        <w:rPr>
          <w:rFonts w:hint="eastAsia" w:ascii="Arial" w:hAnsi="Arial" w:cs="Arial"/>
          <w:kern w:val="0"/>
          <w:szCs w:val="21"/>
        </w:rPr>
        <w:t>营销部负责监视顾客对于其要求和期望获得满足的程度的感受。</w:t>
      </w:r>
    </w:p>
    <w:p w14:paraId="1DFA7C8C">
      <w:pPr>
        <w:widowControl/>
        <w:spacing w:line="360" w:lineRule="auto"/>
        <w:ind w:firstLine="420" w:firstLineChars="200"/>
        <w:jc w:val="left"/>
        <w:rPr>
          <w:rFonts w:ascii="Arial" w:hAnsi="Arial" w:cs="Arial"/>
          <w:kern w:val="0"/>
          <w:szCs w:val="21"/>
        </w:rPr>
      </w:pPr>
      <w:r>
        <w:rPr>
          <w:rFonts w:hint="eastAsia" w:ascii="Arial" w:hAnsi="Arial" w:cs="Arial"/>
          <w:kern w:val="0"/>
          <w:szCs w:val="21"/>
        </w:rPr>
        <w:t>相关人员应获得顾客对公司及其产品和服务的意见和建议的信息。</w:t>
      </w:r>
    </w:p>
    <w:p w14:paraId="09609788">
      <w:pPr>
        <w:widowControl/>
        <w:spacing w:line="360" w:lineRule="auto"/>
        <w:ind w:firstLine="420" w:firstLineChars="200"/>
        <w:jc w:val="left"/>
        <w:rPr>
          <w:rFonts w:hint="eastAsia" w:ascii="Arial" w:hAnsi="Arial" w:cs="Arial"/>
          <w:kern w:val="0"/>
          <w:szCs w:val="21"/>
        </w:rPr>
      </w:pPr>
      <w:r>
        <w:rPr>
          <w:rFonts w:hint="eastAsia" w:ascii="Arial" w:hAnsi="Arial" w:cs="Arial"/>
          <w:kern w:val="0"/>
          <w:szCs w:val="21"/>
        </w:rPr>
        <w:t>营销部应确定这些信息的获取、监视和评审方法。</w:t>
      </w:r>
    </w:p>
    <w:p w14:paraId="6D786A7B">
      <w:pPr>
        <w:widowControl/>
        <w:spacing w:line="360" w:lineRule="auto"/>
        <w:ind w:firstLine="420" w:firstLineChars="200"/>
        <w:jc w:val="left"/>
        <w:rPr>
          <w:rFonts w:hint="eastAsia" w:ascii="Arial" w:hAnsi="Arial" w:cs="Arial"/>
          <w:kern w:val="0"/>
          <w:szCs w:val="21"/>
        </w:rPr>
      </w:pPr>
      <w:r>
        <w:rPr>
          <w:rFonts w:hint="eastAsia" w:ascii="Arial" w:hAnsi="Arial" w:cs="Arial"/>
          <w:kern w:val="0"/>
          <w:szCs w:val="21"/>
        </w:rPr>
        <w:t>营销部负责制定、实施和保持</w:t>
      </w:r>
      <w:r>
        <w:rPr>
          <w:rFonts w:hint="eastAsia" w:ascii="Arial" w:hAnsi="Arial" w:cs="Arial"/>
          <w:kern w:val="0"/>
          <w:szCs w:val="21"/>
          <w:highlight w:val="yellow"/>
        </w:rPr>
        <w:t>《顾客满意度控制程序》</w:t>
      </w:r>
      <w:r>
        <w:rPr>
          <w:rFonts w:hint="eastAsia" w:ascii="Arial" w:hAnsi="Arial" w:cs="Arial"/>
          <w:kern w:val="0"/>
          <w:szCs w:val="21"/>
        </w:rPr>
        <w:t>，以明确顾客满信息收集渠道、监测的职责、方法等内容。</w:t>
      </w:r>
    </w:p>
    <w:p w14:paraId="074F9751">
      <w:pPr>
        <w:spacing w:line="500" w:lineRule="exact"/>
        <w:ind w:firstLine="420" w:firstLineChars="200"/>
        <w:rPr>
          <w:rFonts w:hint="eastAsia" w:ascii="楷体_GB2312" w:hAnsi="宋体" w:eastAsia="楷体_GB2312"/>
          <w:szCs w:val="21"/>
        </w:rPr>
      </w:pPr>
      <w:r>
        <w:rPr>
          <w:rFonts w:hint="eastAsia" w:ascii="楷体_GB2312" w:hAnsi="宋体" w:eastAsia="楷体_GB2312"/>
          <w:szCs w:val="21"/>
        </w:rPr>
        <w:t>营销部及时对顾客抱怨或投诉作出安排，并及时采取措施组织改进，并将处理结果及时通报顾客。</w:t>
      </w:r>
    </w:p>
    <w:p w14:paraId="3DBF8380">
      <w:pPr>
        <w:spacing w:line="360" w:lineRule="auto"/>
        <w:ind w:firstLine="420" w:firstLineChars="200"/>
        <w:rPr>
          <w:rFonts w:ascii="楷体" w:hAnsi="楷体" w:eastAsia="楷体" w:cs="楷体"/>
        </w:rPr>
      </w:pPr>
      <w:r>
        <w:rPr>
          <w:rFonts w:hint="eastAsia" w:ascii="楷体" w:hAnsi="楷体" w:eastAsia="楷体" w:cs="楷体"/>
        </w:rPr>
        <w:t>注：监视顾客感受的例子可包括顾客满意或意见调查、有关交付的产品和服务的质量的反馈、顾客会晤、市场占有率分析、赞扬、担保索赔和经销商报告。</w:t>
      </w:r>
    </w:p>
    <w:p w14:paraId="45F3C497">
      <w:pPr>
        <w:pStyle w:val="4"/>
      </w:pPr>
      <w:bookmarkStart w:id="192" w:name="_Toc536539722"/>
      <w:bookmarkStart w:id="193" w:name="_Toc366"/>
      <w:r>
        <w:rPr>
          <w:rFonts w:hint="eastAsia"/>
        </w:rPr>
        <w:t>9.1.3 分析与评价</w:t>
      </w:r>
      <w:bookmarkEnd w:id="192"/>
      <w:bookmarkEnd w:id="193"/>
    </w:p>
    <w:p w14:paraId="56F3932A">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各责任部门应分析和评价从监视、测量和其他来源获得的适当的数据和信息。</w:t>
      </w:r>
    </w:p>
    <w:p w14:paraId="42158E97">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分析和评价的输出应被用于：</w:t>
      </w:r>
    </w:p>
    <w:p w14:paraId="2A277EB2">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a) 证明产品和服务与要求的符合性，合规性义务、重要环境因素和需控制的风险已按策划实施控制；</w:t>
      </w:r>
    </w:p>
    <w:p w14:paraId="794B2AAE">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b) 顾客满意程度；</w:t>
      </w:r>
    </w:p>
    <w:p w14:paraId="549E066C">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 xml:space="preserve">c) 质量管理体系的绩效和有效性； </w:t>
      </w:r>
    </w:p>
    <w:p w14:paraId="415AC416">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d) 策划是否得到有效实施；</w:t>
      </w:r>
    </w:p>
    <w:p w14:paraId="2F659029">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e) 针对风险和机遇所采取措施的有效性；</w:t>
      </w:r>
    </w:p>
    <w:p w14:paraId="5173D008">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f) 外部供方的绩效；</w:t>
      </w:r>
    </w:p>
    <w:p w14:paraId="212CB8FA">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g) 确定质量管理体系改进的需求或机会。</w:t>
      </w:r>
    </w:p>
    <w:p w14:paraId="5D25B715">
      <w:pPr>
        <w:autoSpaceDE w:val="0"/>
        <w:autoSpaceDN w:val="0"/>
        <w:spacing w:line="500" w:lineRule="exact"/>
        <w:ind w:firstLine="434" w:firstLineChars="207"/>
        <w:jc w:val="left"/>
        <w:rPr>
          <w:rFonts w:hint="eastAsia" w:ascii="楷体_GB2312" w:hAnsi="宋体" w:eastAsia="楷体_GB2312"/>
          <w:kern w:val="0"/>
          <w:szCs w:val="21"/>
        </w:rPr>
      </w:pPr>
      <w:r>
        <w:rPr>
          <w:rFonts w:hint="eastAsia" w:ascii="楷体_GB2312" w:hAnsi="宋体" w:eastAsia="楷体_GB2312"/>
          <w:kern w:val="0"/>
          <w:szCs w:val="21"/>
        </w:rPr>
        <w:t>h） 质量经济性。</w:t>
      </w:r>
    </w:p>
    <w:p w14:paraId="34B76638">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cs="Arial"/>
          <w:kern w:val="0"/>
          <w:szCs w:val="21"/>
        </w:rPr>
        <w:t>上述分析和评价的结果应被用作管理评审的输入。</w:t>
      </w:r>
    </w:p>
    <w:p w14:paraId="70A1D5A4">
      <w:pPr>
        <w:pStyle w:val="3"/>
        <w:rPr>
          <w:rFonts w:hint="eastAsia"/>
        </w:rPr>
      </w:pPr>
      <w:bookmarkStart w:id="194" w:name="_Toc30878"/>
      <w:bookmarkStart w:id="195" w:name="_Toc536539723"/>
      <w:r>
        <w:rPr>
          <w:rFonts w:hint="eastAsia"/>
        </w:rPr>
        <w:t>9.2内部审核</w:t>
      </w:r>
      <w:bookmarkEnd w:id="194"/>
      <w:bookmarkEnd w:id="195"/>
    </w:p>
    <w:p w14:paraId="399EB37E">
      <w:pPr>
        <w:widowControl/>
        <w:spacing w:line="360" w:lineRule="auto"/>
        <w:jc w:val="left"/>
        <w:rPr>
          <w:rFonts w:ascii="Arial" w:hAnsi="Arial" w:cs="Arial"/>
          <w:kern w:val="0"/>
          <w:szCs w:val="21"/>
        </w:rPr>
      </w:pPr>
      <w:r>
        <w:rPr>
          <w:rFonts w:hint="eastAsia" w:ascii="Arial" w:hAnsi="Arial" w:cs="Arial"/>
          <w:kern w:val="0"/>
          <w:szCs w:val="21"/>
        </w:rPr>
        <w:t>9.2.1公司制定、实施和保持</w:t>
      </w:r>
      <w:r>
        <w:rPr>
          <w:rFonts w:hint="eastAsia" w:ascii="宋体" w:hAnsi="宋体"/>
          <w:sz w:val="24"/>
          <w:highlight w:val="yellow"/>
        </w:rPr>
        <w:t>《内部审核程序》</w:t>
      </w:r>
      <w:r>
        <w:rPr>
          <w:rFonts w:hint="eastAsia" w:ascii="Arial" w:hAnsi="Arial" w:cs="Arial"/>
          <w:kern w:val="0"/>
          <w:szCs w:val="21"/>
        </w:rPr>
        <w:t>，明确内审的时机、流程、方法等要求，品质部负责按照策划的时间间隔开展内部审核，以提供信息确定质量管理体系是否：</w:t>
      </w:r>
    </w:p>
    <w:p w14:paraId="509CD5B8">
      <w:pPr>
        <w:widowControl/>
        <w:numPr>
          <w:ilvl w:val="0"/>
          <w:numId w:val="15"/>
        </w:numPr>
        <w:spacing w:line="360" w:lineRule="auto"/>
        <w:ind w:hanging="414"/>
        <w:jc w:val="left"/>
        <w:rPr>
          <w:rFonts w:ascii="宋体" w:hAnsi="宋体" w:cs="Arial"/>
          <w:kern w:val="0"/>
          <w:szCs w:val="21"/>
        </w:rPr>
      </w:pPr>
      <w:r>
        <w:rPr>
          <w:rFonts w:hint="eastAsia" w:ascii="宋体" w:hAnsi="宋体" w:cs="Arial"/>
          <w:kern w:val="0"/>
          <w:szCs w:val="21"/>
        </w:rPr>
        <w:t>符合：</w:t>
      </w:r>
    </w:p>
    <w:p w14:paraId="04CEFD03">
      <w:pPr>
        <w:widowControl/>
        <w:spacing w:line="360" w:lineRule="auto"/>
        <w:ind w:firstLine="735" w:firstLineChars="350"/>
        <w:jc w:val="left"/>
        <w:rPr>
          <w:rFonts w:ascii="宋体" w:hAnsi="宋体" w:cs="Arial"/>
          <w:kern w:val="0"/>
          <w:szCs w:val="21"/>
        </w:rPr>
      </w:pPr>
      <w:r>
        <w:rPr>
          <w:rFonts w:hint="eastAsia" w:ascii="宋体" w:hAnsi="宋体" w:cs="Arial"/>
          <w:kern w:val="0"/>
          <w:szCs w:val="21"/>
        </w:rPr>
        <w:t>1）组织自身对质量管理体系的要求；</w:t>
      </w:r>
    </w:p>
    <w:p w14:paraId="00E5B7A1">
      <w:pPr>
        <w:widowControl/>
        <w:spacing w:line="360" w:lineRule="auto"/>
        <w:ind w:firstLine="735" w:firstLineChars="350"/>
        <w:jc w:val="left"/>
        <w:rPr>
          <w:rFonts w:ascii="Arial" w:hAnsi="Arial" w:cs="Arial"/>
          <w:kern w:val="0"/>
          <w:szCs w:val="21"/>
        </w:rPr>
      </w:pPr>
      <w:r>
        <w:rPr>
          <w:rFonts w:hint="eastAsia" w:ascii="Arial" w:hAnsi="Arial" w:cs="Arial"/>
          <w:kern w:val="0"/>
          <w:szCs w:val="21"/>
        </w:rPr>
        <w:t>2）GB/T19001-2016 idt ISO9001:2015、GJB9001C-2017标准的要求；</w:t>
      </w:r>
    </w:p>
    <w:p w14:paraId="452338CD">
      <w:pPr>
        <w:widowControl/>
        <w:numPr>
          <w:ilvl w:val="0"/>
          <w:numId w:val="15"/>
        </w:numPr>
        <w:spacing w:line="360" w:lineRule="auto"/>
        <w:jc w:val="left"/>
        <w:rPr>
          <w:rFonts w:ascii="宋体" w:hAnsi="宋体" w:cs="Arial"/>
          <w:kern w:val="0"/>
          <w:szCs w:val="21"/>
        </w:rPr>
      </w:pPr>
      <w:r>
        <w:rPr>
          <w:rFonts w:hint="eastAsia" w:ascii="宋体" w:hAnsi="宋体" w:cs="Arial"/>
          <w:kern w:val="0"/>
          <w:szCs w:val="21"/>
        </w:rPr>
        <w:t>有效地实施和保持。</w:t>
      </w:r>
    </w:p>
    <w:p w14:paraId="3B77CCF8">
      <w:pPr>
        <w:widowControl/>
        <w:spacing w:line="360" w:lineRule="auto"/>
        <w:jc w:val="left"/>
        <w:rPr>
          <w:rFonts w:ascii="Arial" w:hAnsi="Arial" w:cs="Arial"/>
          <w:kern w:val="0"/>
          <w:szCs w:val="21"/>
        </w:rPr>
      </w:pPr>
      <w:r>
        <w:rPr>
          <w:rFonts w:hint="eastAsia" w:ascii="Arial" w:hAnsi="Arial" w:cs="Arial"/>
          <w:kern w:val="0"/>
          <w:szCs w:val="21"/>
        </w:rPr>
        <w:t>9.2.2 公司应：</w:t>
      </w:r>
    </w:p>
    <w:p w14:paraId="2CCD667F">
      <w:pPr>
        <w:widowControl/>
        <w:numPr>
          <w:ilvl w:val="0"/>
          <w:numId w:val="16"/>
        </w:numPr>
        <w:spacing w:line="360" w:lineRule="auto"/>
        <w:jc w:val="left"/>
        <w:rPr>
          <w:rFonts w:hint="eastAsia" w:ascii="宋体" w:hAnsi="宋体" w:cs="Arial"/>
          <w:kern w:val="0"/>
          <w:szCs w:val="21"/>
        </w:rPr>
      </w:pPr>
      <w:r>
        <w:rPr>
          <w:rFonts w:hint="eastAsia" w:ascii="宋体" w:hAnsi="宋体" w:cs="Arial"/>
          <w:kern w:val="0"/>
          <w:szCs w:val="21"/>
        </w:rPr>
        <w:t>依据有关过程的重要性、对组织产生影响的变化情况和以往的审核结果，策划、制定、实施和保持审核方案，包括频次、方法、职责、策划要求和报告；</w:t>
      </w:r>
    </w:p>
    <w:p w14:paraId="44D2A241">
      <w:pPr>
        <w:widowControl/>
        <w:numPr>
          <w:ilvl w:val="0"/>
          <w:numId w:val="16"/>
        </w:numPr>
        <w:spacing w:line="360" w:lineRule="auto"/>
        <w:jc w:val="left"/>
        <w:rPr>
          <w:rFonts w:hint="eastAsia" w:ascii="宋体" w:hAnsi="宋体" w:cs="Arial"/>
          <w:kern w:val="0"/>
          <w:szCs w:val="21"/>
        </w:rPr>
      </w:pPr>
      <w:r>
        <w:rPr>
          <w:rFonts w:hint="eastAsia" w:ascii="宋体" w:hAnsi="宋体" w:cs="Arial"/>
          <w:kern w:val="0"/>
          <w:szCs w:val="21"/>
        </w:rPr>
        <w:t>规定每次审核的审核准则和范围；</w:t>
      </w:r>
    </w:p>
    <w:p w14:paraId="46402E84">
      <w:pPr>
        <w:widowControl/>
        <w:numPr>
          <w:ilvl w:val="0"/>
          <w:numId w:val="16"/>
        </w:numPr>
        <w:spacing w:line="360" w:lineRule="auto"/>
        <w:jc w:val="left"/>
        <w:rPr>
          <w:rFonts w:hint="eastAsia" w:ascii="宋体" w:hAnsi="宋体" w:cs="Arial"/>
          <w:kern w:val="0"/>
          <w:szCs w:val="21"/>
        </w:rPr>
      </w:pPr>
      <w:r>
        <w:rPr>
          <w:rFonts w:hint="eastAsia" w:ascii="宋体" w:hAnsi="宋体" w:cs="Arial"/>
          <w:kern w:val="0"/>
          <w:szCs w:val="21"/>
        </w:rPr>
        <w:t>选择可确保审核过程客观公正的审核员实施审核；</w:t>
      </w:r>
    </w:p>
    <w:p w14:paraId="45A369CD">
      <w:pPr>
        <w:widowControl/>
        <w:numPr>
          <w:ilvl w:val="0"/>
          <w:numId w:val="16"/>
        </w:numPr>
        <w:spacing w:line="360" w:lineRule="auto"/>
        <w:jc w:val="left"/>
        <w:rPr>
          <w:rFonts w:hint="eastAsia" w:ascii="宋体" w:hAnsi="宋体" w:cs="Arial"/>
          <w:kern w:val="0"/>
          <w:szCs w:val="21"/>
        </w:rPr>
      </w:pPr>
      <w:r>
        <w:rPr>
          <w:rFonts w:hint="eastAsia" w:ascii="宋体" w:hAnsi="宋体" w:cs="Arial"/>
          <w:kern w:val="0"/>
          <w:szCs w:val="21"/>
        </w:rPr>
        <w:t>确保相关管理部门获得审核结果报告；</w:t>
      </w:r>
    </w:p>
    <w:p w14:paraId="4029612B">
      <w:pPr>
        <w:widowControl/>
        <w:numPr>
          <w:ilvl w:val="0"/>
          <w:numId w:val="16"/>
        </w:numPr>
        <w:spacing w:line="360" w:lineRule="auto"/>
        <w:jc w:val="left"/>
        <w:rPr>
          <w:rFonts w:hint="eastAsia" w:ascii="宋体" w:hAnsi="宋体" w:cs="Arial"/>
          <w:kern w:val="0"/>
          <w:szCs w:val="21"/>
        </w:rPr>
      </w:pPr>
      <w:r>
        <w:rPr>
          <w:rFonts w:hint="eastAsia" w:ascii="宋体" w:hAnsi="宋体" w:cs="Arial"/>
          <w:kern w:val="0"/>
          <w:szCs w:val="21"/>
        </w:rPr>
        <w:t>及时采取适当的纠正和纠正措施；</w:t>
      </w:r>
    </w:p>
    <w:p w14:paraId="5A96CC28">
      <w:pPr>
        <w:widowControl/>
        <w:numPr>
          <w:ilvl w:val="0"/>
          <w:numId w:val="16"/>
        </w:numPr>
        <w:spacing w:line="360" w:lineRule="auto"/>
        <w:jc w:val="left"/>
        <w:rPr>
          <w:rFonts w:hint="eastAsia" w:ascii="宋体" w:hAnsi="宋体" w:cs="Arial"/>
          <w:kern w:val="0"/>
          <w:szCs w:val="21"/>
        </w:rPr>
      </w:pPr>
      <w:r>
        <w:rPr>
          <w:rFonts w:hint="eastAsia" w:ascii="宋体" w:hAnsi="宋体" w:cs="Arial"/>
          <w:kern w:val="0"/>
          <w:szCs w:val="21"/>
        </w:rPr>
        <w:t>保留作为实施审核方案以及审核结果的证据的成文信息。</w:t>
      </w:r>
    </w:p>
    <w:p w14:paraId="5EEF5BFD">
      <w:pPr>
        <w:autoSpaceDE w:val="0"/>
        <w:autoSpaceDN w:val="0"/>
        <w:spacing w:line="500" w:lineRule="exact"/>
        <w:ind w:firstLine="420" w:firstLineChars="200"/>
        <w:jc w:val="left"/>
        <w:rPr>
          <w:rFonts w:hint="eastAsia" w:ascii="楷体_GB2312" w:hAnsi="宋体" w:eastAsia="楷体_GB2312"/>
          <w:szCs w:val="21"/>
        </w:rPr>
      </w:pPr>
      <w:r>
        <w:rPr>
          <w:rFonts w:hint="eastAsia" w:ascii="楷体_GB2312" w:hAnsi="宋体" w:eastAsia="楷体_GB2312"/>
          <w:szCs w:val="21"/>
        </w:rPr>
        <w:t>公司通过内审员培训、参加内部审核等活动，确保内部审核员具有相应的能力。</w:t>
      </w:r>
    </w:p>
    <w:p w14:paraId="03FF334C">
      <w:pPr>
        <w:spacing w:line="360" w:lineRule="auto"/>
        <w:ind w:firstLine="420" w:firstLineChars="200"/>
        <w:rPr>
          <w:rFonts w:hint="eastAsia" w:ascii="楷体" w:hAnsi="楷体" w:eastAsia="楷体" w:cs="楷体"/>
        </w:rPr>
      </w:pPr>
      <w:r>
        <w:rPr>
          <w:rFonts w:hint="eastAsia" w:ascii="楷体" w:hAnsi="楷体" w:eastAsia="楷体" w:cs="楷体"/>
        </w:rPr>
        <w:t>注：作为指南，参见GB/T19011。</w:t>
      </w:r>
    </w:p>
    <w:p w14:paraId="5939009B">
      <w:pPr>
        <w:pStyle w:val="3"/>
        <w:rPr>
          <w:rFonts w:hint="eastAsia"/>
        </w:rPr>
      </w:pPr>
      <w:bookmarkStart w:id="196" w:name="_Toc23387"/>
      <w:bookmarkStart w:id="197" w:name="_Toc536539724"/>
      <w:r>
        <w:rPr>
          <w:rFonts w:hint="eastAsia"/>
        </w:rPr>
        <w:t>9.3管理评审</w:t>
      </w:r>
      <w:bookmarkEnd w:id="196"/>
      <w:bookmarkEnd w:id="197"/>
    </w:p>
    <w:p w14:paraId="576AD897">
      <w:pPr>
        <w:pStyle w:val="4"/>
        <w:rPr>
          <w:rFonts w:hint="eastAsia"/>
          <w:kern w:val="0"/>
        </w:rPr>
      </w:pPr>
      <w:bookmarkStart w:id="198" w:name="_Toc20712"/>
      <w:bookmarkStart w:id="199" w:name="_Toc536539725"/>
      <w:r>
        <w:rPr>
          <w:rFonts w:hint="eastAsia"/>
          <w:kern w:val="0"/>
        </w:rPr>
        <w:t>9.3.1 总则</w:t>
      </w:r>
      <w:bookmarkEnd w:id="198"/>
      <w:bookmarkEnd w:id="199"/>
    </w:p>
    <w:p w14:paraId="7CABDC3F">
      <w:pPr>
        <w:widowControl/>
        <w:spacing w:line="360" w:lineRule="auto"/>
        <w:ind w:firstLine="420" w:firstLineChars="200"/>
        <w:jc w:val="left"/>
        <w:rPr>
          <w:rFonts w:hint="eastAsia" w:ascii="Arial" w:hAnsi="Arial" w:cs="Arial"/>
          <w:kern w:val="0"/>
          <w:szCs w:val="21"/>
        </w:rPr>
      </w:pPr>
      <w:r>
        <w:rPr>
          <w:rFonts w:hint="eastAsia" w:ascii="Arial" w:hAnsi="Arial" w:cs="Arial"/>
          <w:kern w:val="0"/>
          <w:szCs w:val="21"/>
        </w:rPr>
        <w:t xml:space="preserve">   总经理应按照策划的时间间隔对公司的质量管理体系进行评审，以确保其持续的适应性、充分性和有效性，并与公司的战略方向保持一致。</w:t>
      </w:r>
      <w:r>
        <w:rPr>
          <w:rFonts w:hint="eastAsia" w:ascii="宋体" w:hAnsi="宋体"/>
          <w:szCs w:val="21"/>
        </w:rPr>
        <w:t>总经理每年</w:t>
      </w:r>
      <w:r>
        <w:rPr>
          <w:rFonts w:ascii="宋体" w:hAnsi="宋体"/>
          <w:szCs w:val="21"/>
        </w:rPr>
        <w:t>对公司</w:t>
      </w:r>
      <w:r>
        <w:rPr>
          <w:rFonts w:hint="eastAsia" w:ascii="宋体" w:hAnsi="宋体"/>
          <w:szCs w:val="21"/>
        </w:rPr>
        <w:t>的</w:t>
      </w:r>
      <w:r>
        <w:rPr>
          <w:rFonts w:ascii="宋体" w:hAnsi="宋体"/>
          <w:szCs w:val="21"/>
        </w:rPr>
        <w:t>质量管理体系</w:t>
      </w:r>
      <w:r>
        <w:rPr>
          <w:rFonts w:hint="eastAsia" w:ascii="宋体" w:hAnsi="宋体"/>
          <w:szCs w:val="21"/>
        </w:rPr>
        <w:t>进行评审，管理评审应包括评价改进的机会和质量管理体系变更的需求，其中包括</w:t>
      </w:r>
      <w:r>
        <w:rPr>
          <w:rFonts w:ascii="宋体" w:hAnsi="宋体"/>
          <w:szCs w:val="21"/>
        </w:rPr>
        <w:t>评价质量</w:t>
      </w:r>
      <w:r>
        <w:rPr>
          <w:rFonts w:hint="eastAsia" w:ascii="宋体" w:hAnsi="宋体"/>
          <w:szCs w:val="21"/>
        </w:rPr>
        <w:t>方针和质量目标</w:t>
      </w:r>
      <w:r>
        <w:rPr>
          <w:rFonts w:ascii="宋体" w:hAnsi="宋体"/>
          <w:szCs w:val="21"/>
        </w:rPr>
        <w:t>变更的</w:t>
      </w:r>
      <w:r>
        <w:rPr>
          <w:rFonts w:hint="eastAsia" w:ascii="宋体" w:hAnsi="宋体"/>
          <w:szCs w:val="21"/>
        </w:rPr>
        <w:t>需求</w:t>
      </w:r>
      <w:r>
        <w:rPr>
          <w:rFonts w:ascii="宋体" w:hAnsi="宋体"/>
          <w:szCs w:val="21"/>
        </w:rPr>
        <w:t>。</w:t>
      </w:r>
      <w:r>
        <w:rPr>
          <w:rFonts w:hint="eastAsia" w:ascii="宋体" w:hAnsi="宋体"/>
          <w:szCs w:val="21"/>
        </w:rPr>
        <w:t>两次评审的时间间隔应不超过12个月。公司制定、实施和保持</w:t>
      </w:r>
      <w:r>
        <w:rPr>
          <w:rFonts w:hint="eastAsia" w:ascii="Arial" w:hAnsi="Arial" w:cs="Arial"/>
          <w:kern w:val="0"/>
          <w:szCs w:val="21"/>
          <w:highlight w:val="yellow"/>
        </w:rPr>
        <w:t>《管理评审控制程序》</w:t>
      </w:r>
      <w:r>
        <w:rPr>
          <w:rFonts w:hint="eastAsia" w:ascii="Arial" w:hAnsi="Arial" w:cs="Arial"/>
          <w:kern w:val="0"/>
          <w:szCs w:val="21"/>
        </w:rPr>
        <w:t>，明确管理评审的时机、方式、输入和输出的内容及要求等。</w:t>
      </w:r>
    </w:p>
    <w:p w14:paraId="3E5043F4">
      <w:pPr>
        <w:autoSpaceDE w:val="0"/>
        <w:autoSpaceDN w:val="0"/>
        <w:spacing w:line="500" w:lineRule="exact"/>
        <w:ind w:firstLine="525" w:firstLineChars="250"/>
        <w:jc w:val="left"/>
        <w:rPr>
          <w:rFonts w:hint="eastAsia" w:ascii="楷体_GB2312" w:hAnsi="宋体" w:eastAsia="楷体_GB2312" w:cs="楷体_GB2312"/>
          <w:kern w:val="0"/>
          <w:szCs w:val="21"/>
        </w:rPr>
      </w:pPr>
      <w:r>
        <w:rPr>
          <w:rFonts w:hint="eastAsia" w:ascii="楷体_GB2312" w:hAnsi="宋体" w:eastAsia="楷体_GB2312" w:cs="楷体_GB2312"/>
          <w:kern w:val="0"/>
          <w:szCs w:val="21"/>
        </w:rPr>
        <w:t>当产品和服务发生重大质量事故，公司的质量管理体系发生重大变化，如</w:t>
      </w:r>
      <w:r>
        <w:rPr>
          <w:rFonts w:hint="eastAsia" w:ascii="楷体_GB2312" w:hAnsi="宋体" w:eastAsia="楷体_GB2312"/>
          <w:szCs w:val="21"/>
        </w:rPr>
        <w:t>社会要求（适用的法律、法规、市场环境、安全等）发生重大变化；产品标准和顾客要求有重大变化；组织结构、产品范围、资源配置有重大变化；用户对产品质量有严重投诉或连续发生投诉时，</w:t>
      </w:r>
      <w:r>
        <w:rPr>
          <w:rFonts w:hint="eastAsia" w:ascii="楷体_GB2312" w:hAnsi="宋体" w:eastAsia="楷体_GB2312" w:cs="楷体_GB2312"/>
          <w:kern w:val="0"/>
          <w:szCs w:val="21"/>
        </w:rPr>
        <w:t>及时进行专题管理评审。</w:t>
      </w:r>
    </w:p>
    <w:p w14:paraId="631D8281">
      <w:pPr>
        <w:snapToGrid w:val="0"/>
        <w:spacing w:line="360" w:lineRule="auto"/>
        <w:ind w:firstLine="420" w:firstLineChars="200"/>
        <w:rPr>
          <w:rFonts w:hint="eastAsia" w:ascii="宋体" w:hAnsi="宋体"/>
          <w:szCs w:val="21"/>
        </w:rPr>
      </w:pPr>
      <w:r>
        <w:rPr>
          <w:rFonts w:hint="eastAsia" w:ascii="宋体" w:hAnsi="宋体"/>
          <w:szCs w:val="21"/>
        </w:rPr>
        <w:t>品质部</w:t>
      </w:r>
      <w:r>
        <w:rPr>
          <w:rFonts w:ascii="宋体" w:hAnsi="宋体"/>
          <w:szCs w:val="21"/>
        </w:rPr>
        <w:t>负责制订年度管理评审计划，经管理者代表审核，总经理批准后分发给参加评审的有关部门及人员。内容可包括：评审时间</w:t>
      </w:r>
      <w:r>
        <w:rPr>
          <w:rFonts w:hint="eastAsia" w:ascii="宋体" w:hAnsi="宋体"/>
          <w:szCs w:val="21"/>
        </w:rPr>
        <w:t>；评</w:t>
      </w:r>
      <w:r>
        <w:rPr>
          <w:rFonts w:ascii="宋体" w:hAnsi="宋体"/>
          <w:szCs w:val="21"/>
        </w:rPr>
        <w:t>审目的、范围和依据；参加评审</w:t>
      </w:r>
      <w:r>
        <w:rPr>
          <w:rFonts w:hint="eastAsia" w:ascii="宋体" w:hAnsi="宋体"/>
          <w:szCs w:val="21"/>
        </w:rPr>
        <w:t>的</w:t>
      </w:r>
      <w:r>
        <w:rPr>
          <w:rFonts w:ascii="宋体" w:hAnsi="宋体"/>
          <w:szCs w:val="21"/>
        </w:rPr>
        <w:t>部门（人员）；评审内容</w:t>
      </w:r>
      <w:r>
        <w:rPr>
          <w:rFonts w:hint="eastAsia" w:ascii="宋体" w:hAnsi="宋体"/>
          <w:szCs w:val="21"/>
        </w:rPr>
        <w:t>及评审输入文件的准备等。</w:t>
      </w:r>
      <w:r>
        <w:rPr>
          <w:rFonts w:ascii="宋体" w:hAnsi="宋体"/>
          <w:szCs w:val="21"/>
        </w:rPr>
        <w:t>“管理评审计划”需提前半个月下达。</w:t>
      </w:r>
    </w:p>
    <w:p w14:paraId="11203D49">
      <w:pPr>
        <w:pStyle w:val="4"/>
        <w:rPr>
          <w:rFonts w:hint="eastAsia"/>
          <w:kern w:val="0"/>
        </w:rPr>
      </w:pPr>
      <w:bookmarkStart w:id="200" w:name="_Toc29408"/>
      <w:bookmarkStart w:id="201" w:name="_Toc536539726"/>
      <w:r>
        <w:rPr>
          <w:rFonts w:hint="eastAsia"/>
          <w:kern w:val="0"/>
        </w:rPr>
        <w:t>9.3.2 管理评审输入</w:t>
      </w:r>
      <w:bookmarkEnd w:id="200"/>
      <w:bookmarkEnd w:id="201"/>
    </w:p>
    <w:p w14:paraId="49500C6C">
      <w:pPr>
        <w:widowControl/>
        <w:spacing w:line="360" w:lineRule="auto"/>
        <w:ind w:firstLine="420" w:firstLineChars="200"/>
        <w:jc w:val="left"/>
        <w:rPr>
          <w:rFonts w:hint="eastAsia" w:ascii="Arial" w:hAnsi="Arial" w:cs="Arial"/>
          <w:kern w:val="0"/>
          <w:szCs w:val="21"/>
        </w:rPr>
      </w:pPr>
      <w:r>
        <w:rPr>
          <w:rFonts w:hint="eastAsia" w:ascii="Arial" w:hAnsi="Arial" w:cs="Arial"/>
          <w:kern w:val="0"/>
          <w:szCs w:val="21"/>
        </w:rPr>
        <w:t>策划和实施管理评审时，应考虑下列内容：</w:t>
      </w:r>
    </w:p>
    <w:p w14:paraId="1ABF986A">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a)以往管理评审采取措施的实施情况；</w:t>
      </w:r>
    </w:p>
    <w:p w14:paraId="7C4AEA91">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b)与</w:t>
      </w:r>
      <w:r>
        <w:rPr>
          <w:rFonts w:hint="eastAsia" w:ascii="Arial" w:hAnsi="Arial" w:cs="Arial"/>
          <w:kern w:val="0"/>
          <w:szCs w:val="21"/>
        </w:rPr>
        <w:t>质量管理体系</w:t>
      </w:r>
      <w:r>
        <w:rPr>
          <w:rFonts w:hint="eastAsia" w:ascii="宋体" w:hAnsi="宋体" w:cs="Arial"/>
          <w:kern w:val="0"/>
          <w:szCs w:val="21"/>
        </w:rPr>
        <w:t>相关的内部和外部因素的变化，包括其战略方向；</w:t>
      </w:r>
    </w:p>
    <w:p w14:paraId="2C8403B9">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c)有关</w:t>
      </w:r>
      <w:r>
        <w:rPr>
          <w:rFonts w:hint="eastAsia" w:ascii="Arial" w:hAnsi="Arial" w:cs="Arial"/>
          <w:kern w:val="0"/>
          <w:szCs w:val="21"/>
        </w:rPr>
        <w:t>质量管理体系绩</w:t>
      </w:r>
      <w:r>
        <w:rPr>
          <w:rFonts w:hint="eastAsia" w:ascii="宋体" w:hAnsi="宋体" w:cs="Arial"/>
          <w:kern w:val="0"/>
          <w:szCs w:val="21"/>
        </w:rPr>
        <w:t>效和有效性的信息，包括下列趋势性的信息：</w:t>
      </w:r>
    </w:p>
    <w:p w14:paraId="7290968E">
      <w:pPr>
        <w:widowControl/>
        <w:spacing w:line="360" w:lineRule="auto"/>
        <w:ind w:firstLine="630" w:firstLineChars="300"/>
        <w:jc w:val="left"/>
        <w:rPr>
          <w:rFonts w:hint="eastAsia" w:ascii="宋体" w:hAnsi="宋体" w:cs="Arial"/>
          <w:kern w:val="0"/>
          <w:szCs w:val="21"/>
        </w:rPr>
      </w:pPr>
      <w:r>
        <w:rPr>
          <w:rFonts w:hint="eastAsia" w:ascii="宋体" w:hAnsi="宋体" w:cs="Arial"/>
          <w:kern w:val="0"/>
          <w:szCs w:val="21"/>
        </w:rPr>
        <w:t>1)顾客满意和相关方的反馈；</w:t>
      </w:r>
    </w:p>
    <w:p w14:paraId="110E3AFE">
      <w:pPr>
        <w:widowControl/>
        <w:spacing w:line="360" w:lineRule="auto"/>
        <w:ind w:firstLine="630" w:firstLineChars="300"/>
        <w:jc w:val="left"/>
        <w:rPr>
          <w:rFonts w:hint="eastAsia" w:ascii="宋体" w:hAnsi="宋体" w:cs="Arial"/>
          <w:kern w:val="0"/>
          <w:szCs w:val="21"/>
        </w:rPr>
      </w:pPr>
      <w:r>
        <w:rPr>
          <w:rFonts w:hint="eastAsia" w:ascii="宋体" w:hAnsi="宋体" w:cs="Arial"/>
          <w:kern w:val="0"/>
          <w:szCs w:val="21"/>
        </w:rPr>
        <w:t>2)管理目标的实现程度；</w:t>
      </w:r>
    </w:p>
    <w:p w14:paraId="6F51B72A">
      <w:pPr>
        <w:widowControl/>
        <w:spacing w:line="360" w:lineRule="auto"/>
        <w:ind w:firstLine="630" w:firstLineChars="300"/>
        <w:jc w:val="left"/>
        <w:rPr>
          <w:rFonts w:hint="eastAsia" w:ascii="宋体" w:hAnsi="宋体" w:cs="Arial"/>
          <w:kern w:val="0"/>
          <w:szCs w:val="21"/>
        </w:rPr>
      </w:pPr>
      <w:r>
        <w:rPr>
          <w:rFonts w:hint="eastAsia" w:ascii="宋体" w:hAnsi="宋体" w:cs="Arial"/>
          <w:kern w:val="0"/>
          <w:szCs w:val="21"/>
        </w:rPr>
        <w:t>3)过程绩效以及产品和服务的符合性；</w:t>
      </w:r>
    </w:p>
    <w:p w14:paraId="16B3500F">
      <w:pPr>
        <w:widowControl/>
        <w:spacing w:line="360" w:lineRule="auto"/>
        <w:ind w:firstLine="630" w:firstLineChars="300"/>
        <w:jc w:val="left"/>
        <w:rPr>
          <w:rFonts w:hint="eastAsia" w:ascii="宋体" w:hAnsi="宋体" w:cs="Arial"/>
          <w:kern w:val="0"/>
          <w:szCs w:val="21"/>
        </w:rPr>
      </w:pPr>
      <w:r>
        <w:rPr>
          <w:rFonts w:hint="eastAsia" w:ascii="宋体" w:hAnsi="宋体" w:cs="Arial"/>
          <w:kern w:val="0"/>
          <w:szCs w:val="21"/>
        </w:rPr>
        <w:t>4)不合格和纠正措施；</w:t>
      </w:r>
    </w:p>
    <w:p w14:paraId="5680B5FD">
      <w:pPr>
        <w:widowControl/>
        <w:spacing w:line="360" w:lineRule="auto"/>
        <w:ind w:firstLine="630" w:firstLineChars="300"/>
        <w:jc w:val="left"/>
        <w:rPr>
          <w:rFonts w:hint="eastAsia" w:ascii="宋体" w:hAnsi="宋体" w:cs="Arial"/>
          <w:kern w:val="0"/>
          <w:szCs w:val="21"/>
        </w:rPr>
      </w:pPr>
      <w:r>
        <w:rPr>
          <w:rFonts w:hint="eastAsia" w:ascii="宋体" w:hAnsi="宋体" w:cs="Arial"/>
          <w:kern w:val="0"/>
          <w:szCs w:val="21"/>
        </w:rPr>
        <w:t>5)监视和测量结果；</w:t>
      </w:r>
    </w:p>
    <w:p w14:paraId="39F49CED">
      <w:pPr>
        <w:widowControl/>
        <w:spacing w:line="360" w:lineRule="auto"/>
        <w:ind w:firstLine="630" w:firstLineChars="300"/>
        <w:jc w:val="left"/>
        <w:rPr>
          <w:rFonts w:hint="eastAsia" w:ascii="宋体" w:hAnsi="宋体" w:cs="Arial"/>
          <w:kern w:val="0"/>
          <w:szCs w:val="21"/>
        </w:rPr>
      </w:pPr>
      <w:r>
        <w:rPr>
          <w:rFonts w:hint="eastAsia" w:ascii="宋体" w:hAnsi="宋体" w:cs="Arial"/>
          <w:kern w:val="0"/>
          <w:szCs w:val="21"/>
        </w:rPr>
        <w:t>6)审核结果；</w:t>
      </w:r>
    </w:p>
    <w:p w14:paraId="02818950">
      <w:pPr>
        <w:widowControl/>
        <w:spacing w:line="360" w:lineRule="auto"/>
        <w:ind w:firstLine="630" w:firstLineChars="300"/>
        <w:jc w:val="left"/>
        <w:rPr>
          <w:rFonts w:hint="eastAsia" w:ascii="宋体" w:hAnsi="宋体" w:cs="Arial"/>
          <w:kern w:val="0"/>
          <w:szCs w:val="21"/>
        </w:rPr>
      </w:pPr>
      <w:r>
        <w:rPr>
          <w:rFonts w:hint="eastAsia" w:ascii="宋体" w:hAnsi="宋体" w:cs="Arial"/>
          <w:kern w:val="0"/>
          <w:szCs w:val="21"/>
        </w:rPr>
        <w:t>7)外部供方的绩效；</w:t>
      </w:r>
    </w:p>
    <w:p w14:paraId="640EC5F1">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d)资源的充分性；</w:t>
      </w:r>
    </w:p>
    <w:p w14:paraId="67FDBD47">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e)应对风险和机会所采取的措施的有效性（见6.1）；</w:t>
      </w:r>
    </w:p>
    <w:p w14:paraId="214CA9A9">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f)改进的机会。</w:t>
      </w:r>
    </w:p>
    <w:p w14:paraId="7A0F4EE6">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szCs w:val="21"/>
        </w:rPr>
        <w:t>g)与公司经济效益、质量成本、产品成本等有关的质量经济性分析情况；</w:t>
      </w:r>
    </w:p>
    <w:p w14:paraId="3BD445DF">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kern w:val="0"/>
          <w:szCs w:val="21"/>
        </w:rPr>
        <w:t>h)重大质量问题的归零情况。</w:t>
      </w:r>
    </w:p>
    <w:p w14:paraId="0F580EF7">
      <w:pPr>
        <w:pStyle w:val="4"/>
        <w:rPr>
          <w:rFonts w:hint="eastAsia"/>
          <w:kern w:val="0"/>
        </w:rPr>
      </w:pPr>
      <w:bookmarkStart w:id="202" w:name="_Toc12625"/>
      <w:bookmarkStart w:id="203" w:name="_Toc536539727"/>
      <w:r>
        <w:rPr>
          <w:rFonts w:hint="eastAsia"/>
          <w:kern w:val="0"/>
        </w:rPr>
        <w:t>9.3.3 管理评审输出</w:t>
      </w:r>
      <w:bookmarkEnd w:id="202"/>
      <w:bookmarkEnd w:id="203"/>
    </w:p>
    <w:p w14:paraId="19C4167C">
      <w:pPr>
        <w:widowControl/>
        <w:spacing w:line="360" w:lineRule="auto"/>
        <w:jc w:val="left"/>
        <w:rPr>
          <w:rFonts w:hint="eastAsia" w:ascii="Arial" w:hAnsi="Arial" w:cs="Arial"/>
          <w:kern w:val="0"/>
          <w:szCs w:val="21"/>
        </w:rPr>
      </w:pPr>
      <w:r>
        <w:rPr>
          <w:rFonts w:hint="eastAsia" w:ascii="Arial" w:hAnsi="Arial" w:cs="Arial"/>
          <w:kern w:val="0"/>
          <w:szCs w:val="21"/>
        </w:rPr>
        <w:t xml:space="preserve">    管理评审的输出应包括下列相关的决定和措施：</w:t>
      </w:r>
    </w:p>
    <w:p w14:paraId="63C203AD">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a)关于质量管理体系持续的适宜性、充分性和有效的结论；</w:t>
      </w:r>
    </w:p>
    <w:p w14:paraId="5FFDD704">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b)与持续改进机会相关的决策；</w:t>
      </w:r>
    </w:p>
    <w:p w14:paraId="0415FB50">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c)质量管理体系变更需求，包括资源需求；</w:t>
      </w:r>
    </w:p>
    <w:p w14:paraId="4A707FFE">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d)管理目标未实现时需要采取的措施；</w:t>
      </w:r>
    </w:p>
    <w:p w14:paraId="67224C5C">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e)任何与公司战略方向相关的结论；</w:t>
      </w:r>
    </w:p>
    <w:p w14:paraId="6A2C80EE">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cs="Arial"/>
          <w:kern w:val="0"/>
          <w:szCs w:val="21"/>
        </w:rPr>
        <w:t>f)顾客提出的改进要求。</w:t>
      </w:r>
    </w:p>
    <w:p w14:paraId="2681742C">
      <w:pPr>
        <w:spacing w:line="500" w:lineRule="exact"/>
        <w:ind w:firstLine="495" w:firstLineChars="236"/>
        <w:rPr>
          <w:rFonts w:hint="eastAsia" w:ascii="楷体_GB2312" w:hAnsi="宋体" w:eastAsia="楷体_GB2312"/>
          <w:szCs w:val="21"/>
        </w:rPr>
      </w:pPr>
      <w:r>
        <w:rPr>
          <w:rFonts w:hint="eastAsia" w:ascii="楷体_GB2312" w:hAnsi="宋体" w:eastAsia="楷体_GB2312"/>
          <w:szCs w:val="21"/>
        </w:rPr>
        <w:t>品质部负责对管理评审输出实施情况进行跟踪、验证，所产生的记录作为下一次管理评审的输入。</w:t>
      </w:r>
    </w:p>
    <w:p w14:paraId="6D6A13A0">
      <w:pPr>
        <w:widowControl/>
        <w:spacing w:line="360" w:lineRule="auto"/>
        <w:ind w:firstLine="420" w:firstLineChars="200"/>
        <w:jc w:val="left"/>
        <w:rPr>
          <w:rFonts w:hint="eastAsia" w:ascii="Arial" w:hAnsi="Arial" w:cs="Arial"/>
          <w:kern w:val="0"/>
          <w:szCs w:val="21"/>
        </w:rPr>
      </w:pPr>
      <w:r>
        <w:rPr>
          <w:rFonts w:hint="eastAsia" w:ascii="Arial" w:hAnsi="Arial" w:cs="Arial"/>
          <w:kern w:val="0"/>
          <w:szCs w:val="21"/>
        </w:rPr>
        <w:t>公司应保留成文信息作为管理评审结果的证据。</w:t>
      </w:r>
    </w:p>
    <w:p w14:paraId="220F07A5">
      <w:pPr>
        <w:pStyle w:val="2"/>
        <w:jc w:val="left"/>
      </w:pPr>
      <w:bookmarkStart w:id="204" w:name="_Toc17509"/>
      <w:bookmarkStart w:id="205" w:name="_Toc536539728"/>
      <w:r>
        <w:rPr>
          <w:rFonts w:hint="eastAsia"/>
        </w:rPr>
        <w:t>10 改进</w:t>
      </w:r>
      <w:bookmarkEnd w:id="204"/>
      <w:bookmarkEnd w:id="205"/>
    </w:p>
    <w:p w14:paraId="71ABBB52">
      <w:pPr>
        <w:pStyle w:val="3"/>
        <w:rPr>
          <w:rFonts w:hint="eastAsia"/>
        </w:rPr>
      </w:pPr>
      <w:bookmarkStart w:id="206" w:name="_Toc11682"/>
      <w:bookmarkStart w:id="207" w:name="_Toc536539729"/>
      <w:r>
        <w:rPr>
          <w:rFonts w:hint="eastAsia"/>
        </w:rPr>
        <w:t>10.1 总则</w:t>
      </w:r>
      <w:bookmarkEnd w:id="206"/>
      <w:bookmarkEnd w:id="207"/>
    </w:p>
    <w:p w14:paraId="5E6447BA">
      <w:pPr>
        <w:widowControl/>
        <w:spacing w:line="360" w:lineRule="auto"/>
        <w:ind w:firstLine="420" w:firstLineChars="200"/>
        <w:jc w:val="left"/>
        <w:rPr>
          <w:rFonts w:hint="eastAsia" w:ascii="宋体" w:hAnsi="宋体"/>
        </w:rPr>
      </w:pPr>
      <w:r>
        <w:rPr>
          <w:rFonts w:hint="eastAsia" w:ascii="宋体" w:hAnsi="宋体"/>
        </w:rPr>
        <w:t>公司建立、实施和保持</w:t>
      </w:r>
      <w:r>
        <w:rPr>
          <w:rFonts w:hint="eastAsia" w:ascii="宋体" w:hAnsi="宋体"/>
          <w:highlight w:val="yellow"/>
        </w:rPr>
        <w:t>《</w:t>
      </w:r>
      <w:r>
        <w:rPr>
          <w:rFonts w:ascii="宋体" w:hAnsi="宋体"/>
          <w:highlight w:val="yellow"/>
        </w:rPr>
        <w:t>改进控制程序</w:t>
      </w:r>
      <w:r>
        <w:rPr>
          <w:rFonts w:hint="eastAsia" w:ascii="宋体" w:hAnsi="宋体"/>
          <w:highlight w:val="yellow"/>
        </w:rPr>
        <w:t>》</w:t>
      </w:r>
      <w:r>
        <w:rPr>
          <w:rFonts w:hint="eastAsia" w:ascii="宋体" w:hAnsi="宋体"/>
        </w:rPr>
        <w:t>，以明确改进的方式、方法、职责和流程等要求，确定和选择改进机会，并实施必要的措施以满足顾客要求、增强顾客满意和提升公司的质量管理体系管理绩效。</w:t>
      </w:r>
    </w:p>
    <w:p w14:paraId="03DB1E39">
      <w:pPr>
        <w:spacing w:line="360" w:lineRule="auto"/>
        <w:ind w:firstLine="420" w:firstLineChars="200"/>
        <w:rPr>
          <w:rFonts w:hint="eastAsia"/>
        </w:rPr>
      </w:pPr>
      <w:r>
        <w:rPr>
          <w:rFonts w:hint="eastAsia"/>
        </w:rPr>
        <w:t>这些应包括：</w:t>
      </w:r>
    </w:p>
    <w:p w14:paraId="60E6E591">
      <w:pPr>
        <w:spacing w:line="360" w:lineRule="auto"/>
        <w:ind w:firstLine="420" w:firstLineChars="200"/>
        <w:rPr>
          <w:rFonts w:hint="eastAsia" w:ascii="宋体" w:hAnsi="宋体"/>
        </w:rPr>
      </w:pPr>
      <w:r>
        <w:rPr>
          <w:rFonts w:hint="eastAsia" w:ascii="宋体" w:hAnsi="宋体"/>
        </w:rPr>
        <w:t>a)改进产品、服务以满足要求并关注未来的需求和期望；</w:t>
      </w:r>
    </w:p>
    <w:p w14:paraId="7C201673">
      <w:pPr>
        <w:spacing w:line="360" w:lineRule="auto"/>
        <w:ind w:firstLine="420" w:firstLineChars="200"/>
        <w:rPr>
          <w:rFonts w:hint="eastAsia" w:ascii="宋体" w:hAnsi="宋体"/>
        </w:rPr>
      </w:pPr>
      <w:r>
        <w:rPr>
          <w:rFonts w:hint="eastAsia" w:ascii="宋体" w:hAnsi="宋体"/>
        </w:rPr>
        <w:t>b)纠正、预防或减少不利影响；</w:t>
      </w:r>
    </w:p>
    <w:p w14:paraId="2C64CC11">
      <w:pPr>
        <w:spacing w:line="360" w:lineRule="auto"/>
        <w:ind w:firstLine="420" w:firstLineChars="200"/>
        <w:rPr>
          <w:rFonts w:hint="eastAsia" w:ascii="宋体" w:hAnsi="宋体"/>
        </w:rPr>
      </w:pPr>
      <w:r>
        <w:rPr>
          <w:rFonts w:hint="eastAsia" w:ascii="宋体" w:hAnsi="宋体"/>
        </w:rPr>
        <w:t>c)改进质量管理体系的绩效和有效性。</w:t>
      </w:r>
    </w:p>
    <w:p w14:paraId="7B153A6B">
      <w:pPr>
        <w:spacing w:line="360" w:lineRule="auto"/>
        <w:ind w:firstLine="420" w:firstLineChars="200"/>
        <w:rPr>
          <w:rFonts w:hint="eastAsia" w:ascii="楷体_GB2312" w:hAnsi="楷体" w:eastAsia="楷体_GB2312" w:cs="楷体"/>
        </w:rPr>
      </w:pPr>
      <w:r>
        <w:rPr>
          <w:rFonts w:hint="eastAsia" w:ascii="楷体_GB2312" w:hAnsi="楷体" w:eastAsia="楷体_GB2312" w:cs="楷体"/>
        </w:rPr>
        <w:t>注：改进的例子可包括纠正、纠正措施、持续改进、突变、创新和重组。</w:t>
      </w:r>
    </w:p>
    <w:p w14:paraId="57953ACF">
      <w:pPr>
        <w:pStyle w:val="3"/>
        <w:rPr>
          <w:rFonts w:hint="eastAsia"/>
        </w:rPr>
      </w:pPr>
      <w:bookmarkStart w:id="208" w:name="_Toc8560"/>
      <w:bookmarkStart w:id="209" w:name="_Toc536539730"/>
      <w:r>
        <w:rPr>
          <w:rFonts w:hint="eastAsia"/>
        </w:rPr>
        <w:t>10.2 不合格和纠正措施</w:t>
      </w:r>
      <w:bookmarkEnd w:id="208"/>
      <w:bookmarkEnd w:id="209"/>
    </w:p>
    <w:p w14:paraId="0B649D42">
      <w:pPr>
        <w:widowControl/>
        <w:numPr>
          <w:ilvl w:val="2"/>
          <w:numId w:val="17"/>
        </w:numPr>
        <w:spacing w:line="360" w:lineRule="auto"/>
        <w:jc w:val="left"/>
        <w:rPr>
          <w:rFonts w:hint="eastAsia" w:ascii="Arial" w:hAnsi="Arial" w:cs="Arial"/>
          <w:kern w:val="0"/>
          <w:szCs w:val="21"/>
        </w:rPr>
      </w:pPr>
      <w:r>
        <w:rPr>
          <w:rFonts w:hint="eastAsia" w:ascii="Arial" w:hAnsi="Arial" w:cs="Arial"/>
          <w:kern w:val="0"/>
          <w:szCs w:val="21"/>
        </w:rPr>
        <w:t>当发生不合格时，包括由抱怨引起的不合格，公司应：</w:t>
      </w:r>
    </w:p>
    <w:p w14:paraId="233B2978">
      <w:pPr>
        <w:spacing w:line="360" w:lineRule="auto"/>
        <w:ind w:firstLine="420" w:firstLineChars="200"/>
        <w:rPr>
          <w:rFonts w:hint="eastAsia" w:ascii="宋体" w:hAnsi="宋体"/>
        </w:rPr>
      </w:pPr>
      <w:r>
        <w:rPr>
          <w:rFonts w:hint="eastAsia" w:ascii="宋体" w:hAnsi="宋体"/>
        </w:rPr>
        <w:t>a)应对不合格，适用时：</w:t>
      </w:r>
    </w:p>
    <w:p w14:paraId="1A093A05">
      <w:pPr>
        <w:spacing w:line="360" w:lineRule="auto"/>
        <w:ind w:firstLine="630" w:firstLineChars="300"/>
        <w:rPr>
          <w:rFonts w:hint="eastAsia"/>
        </w:rPr>
      </w:pPr>
      <w:r>
        <w:rPr>
          <w:rFonts w:hint="eastAsia"/>
        </w:rPr>
        <w:t>1)采取措施控制和纠正不合格；</w:t>
      </w:r>
    </w:p>
    <w:p w14:paraId="185406F8">
      <w:pPr>
        <w:spacing w:line="360" w:lineRule="auto"/>
        <w:ind w:firstLine="630" w:firstLineChars="300"/>
        <w:rPr>
          <w:rFonts w:hint="eastAsia"/>
        </w:rPr>
      </w:pPr>
      <w:r>
        <w:rPr>
          <w:rFonts w:hint="eastAsia"/>
        </w:rPr>
        <w:t>2)处置产生的后果；</w:t>
      </w:r>
    </w:p>
    <w:p w14:paraId="27ED278D">
      <w:pPr>
        <w:spacing w:line="360" w:lineRule="auto"/>
        <w:ind w:firstLine="420" w:firstLineChars="200"/>
        <w:rPr>
          <w:rFonts w:hint="eastAsia" w:ascii="宋体" w:hAnsi="宋体"/>
        </w:rPr>
      </w:pPr>
      <w:r>
        <w:rPr>
          <w:rFonts w:hint="eastAsia" w:ascii="宋体" w:hAnsi="宋体"/>
        </w:rPr>
        <w:t>b)通过下列活动，评价是否需要采取措施，以消除产生不合格的原因，避免其再次发生或者在其他场合发生：</w:t>
      </w:r>
    </w:p>
    <w:p w14:paraId="326A1CC3">
      <w:pPr>
        <w:spacing w:line="360" w:lineRule="auto"/>
        <w:ind w:firstLine="630" w:firstLineChars="300"/>
        <w:rPr>
          <w:rFonts w:hint="eastAsia"/>
        </w:rPr>
      </w:pPr>
      <w:r>
        <w:rPr>
          <w:rFonts w:hint="eastAsia"/>
        </w:rPr>
        <w:t>1)评审和分析不合格；</w:t>
      </w:r>
    </w:p>
    <w:p w14:paraId="2FD619FC">
      <w:pPr>
        <w:spacing w:line="360" w:lineRule="auto"/>
        <w:ind w:firstLine="630" w:firstLineChars="300"/>
        <w:rPr>
          <w:rFonts w:hint="eastAsia"/>
        </w:rPr>
      </w:pPr>
      <w:r>
        <w:rPr>
          <w:rFonts w:hint="eastAsia"/>
        </w:rPr>
        <w:t>2)确定不合格的原因；</w:t>
      </w:r>
    </w:p>
    <w:p w14:paraId="47B2F287">
      <w:pPr>
        <w:spacing w:line="360" w:lineRule="auto"/>
        <w:ind w:firstLine="630" w:firstLineChars="300"/>
        <w:rPr>
          <w:rFonts w:hint="eastAsia"/>
        </w:rPr>
      </w:pPr>
      <w:r>
        <w:rPr>
          <w:rFonts w:hint="eastAsia"/>
        </w:rPr>
        <w:t>3)确定是否存在类似的不合格或潜在发生的不合格；</w:t>
      </w:r>
    </w:p>
    <w:p w14:paraId="5777254B">
      <w:pPr>
        <w:spacing w:line="360" w:lineRule="auto"/>
        <w:ind w:firstLine="420" w:firstLineChars="200"/>
        <w:rPr>
          <w:rFonts w:hint="eastAsia" w:ascii="宋体" w:hAnsi="宋体"/>
        </w:rPr>
      </w:pPr>
      <w:r>
        <w:rPr>
          <w:rFonts w:hint="eastAsia" w:ascii="宋体" w:hAnsi="宋体"/>
        </w:rPr>
        <w:t>c)确定和实施所需的措施；</w:t>
      </w:r>
    </w:p>
    <w:p w14:paraId="26542C09">
      <w:pPr>
        <w:spacing w:line="360" w:lineRule="auto"/>
        <w:ind w:firstLine="420" w:firstLineChars="200"/>
        <w:rPr>
          <w:rFonts w:hint="eastAsia" w:ascii="宋体" w:hAnsi="宋体"/>
        </w:rPr>
      </w:pPr>
      <w:r>
        <w:rPr>
          <w:rFonts w:hint="eastAsia" w:ascii="宋体" w:hAnsi="宋体"/>
        </w:rPr>
        <w:t>d)评审所采取的纠正措施的有效性；</w:t>
      </w:r>
    </w:p>
    <w:p w14:paraId="0026F2FA">
      <w:pPr>
        <w:spacing w:line="360" w:lineRule="auto"/>
        <w:ind w:firstLine="420" w:firstLineChars="200"/>
        <w:rPr>
          <w:rFonts w:hint="eastAsia" w:ascii="宋体" w:hAnsi="宋体"/>
        </w:rPr>
      </w:pPr>
      <w:r>
        <w:rPr>
          <w:rFonts w:hint="eastAsia" w:ascii="宋体" w:hAnsi="宋体"/>
        </w:rPr>
        <w:t>e)需要时，更新策划期间确定的风险和机遇；</w:t>
      </w:r>
    </w:p>
    <w:p w14:paraId="75DF1592">
      <w:pPr>
        <w:spacing w:line="360" w:lineRule="auto"/>
        <w:ind w:firstLine="420" w:firstLineChars="200"/>
        <w:rPr>
          <w:rFonts w:hint="eastAsia" w:ascii="宋体" w:hAnsi="宋体"/>
        </w:rPr>
      </w:pPr>
      <w:r>
        <w:rPr>
          <w:rFonts w:hint="eastAsia" w:ascii="宋体" w:hAnsi="宋体"/>
        </w:rPr>
        <w:t>f)需要时，变更质量管理体系。</w:t>
      </w:r>
    </w:p>
    <w:p w14:paraId="514F810D">
      <w:pPr>
        <w:spacing w:line="360" w:lineRule="auto"/>
        <w:ind w:firstLine="420" w:firstLineChars="200"/>
        <w:rPr>
          <w:rFonts w:hint="eastAsia"/>
        </w:rPr>
      </w:pPr>
      <w:r>
        <w:rPr>
          <w:rFonts w:hint="eastAsia"/>
        </w:rPr>
        <w:t>纠正措施应与不合格的影响程度相适应。</w:t>
      </w:r>
    </w:p>
    <w:p w14:paraId="55599C36">
      <w:pPr>
        <w:autoSpaceDE w:val="0"/>
        <w:autoSpaceDN w:val="0"/>
        <w:spacing w:line="500" w:lineRule="exact"/>
        <w:ind w:firstLine="420" w:firstLineChars="200"/>
        <w:jc w:val="left"/>
        <w:rPr>
          <w:rFonts w:hint="eastAsia" w:ascii="楷体_GB2312" w:hAnsi="宋体" w:eastAsia="楷体_GB2312"/>
          <w:kern w:val="0"/>
          <w:szCs w:val="21"/>
        </w:rPr>
      </w:pPr>
      <w:r>
        <w:rPr>
          <w:rFonts w:hint="eastAsia" w:ascii="楷体_GB2312" w:hAnsi="宋体" w:eastAsia="楷体_GB2312"/>
          <w:kern w:val="0"/>
          <w:szCs w:val="21"/>
        </w:rPr>
        <w:t>当产品和服务发生严重、重大质量问题时，由品质部组织有关部门针对问题采取纠正措施，实施问题的技术归零和管理归零。技术归零的五条要求：定位准确、机理清楚、问题复现、措施有效、举一反三；管理归零的五条要求：过程清楚、责任明确、措施落实、严肃处理、完善规章。</w:t>
      </w:r>
    </w:p>
    <w:p w14:paraId="1DCCF5AE">
      <w:pPr>
        <w:autoSpaceDE w:val="0"/>
        <w:autoSpaceDN w:val="0"/>
        <w:spacing w:line="500" w:lineRule="exact"/>
        <w:ind w:firstLine="420" w:firstLineChars="200"/>
        <w:jc w:val="left"/>
        <w:rPr>
          <w:rFonts w:hint="eastAsia" w:ascii="楷体_GB2312" w:hAnsi="宋体" w:eastAsia="楷体_GB2312"/>
          <w:kern w:val="0"/>
          <w:szCs w:val="21"/>
        </w:rPr>
      </w:pPr>
      <w:r>
        <w:rPr>
          <w:rFonts w:hint="eastAsia" w:ascii="楷体_GB2312" w:hAnsi="宋体" w:eastAsia="楷体_GB2312"/>
          <w:kern w:val="0"/>
          <w:szCs w:val="21"/>
        </w:rPr>
        <w:t>当确认不合格是外部供方的原因所致时，由营销部向外部供方提出采取纠正和纠正措施，并评价其措施的有效性。</w:t>
      </w:r>
    </w:p>
    <w:p w14:paraId="332214FB">
      <w:pPr>
        <w:autoSpaceDE w:val="0"/>
        <w:autoSpaceDN w:val="0"/>
        <w:spacing w:line="500" w:lineRule="exact"/>
        <w:ind w:firstLine="420" w:firstLineChars="200"/>
        <w:jc w:val="left"/>
        <w:rPr>
          <w:rFonts w:hint="eastAsia" w:ascii="楷体_GB2312" w:hAnsi="宋体" w:eastAsia="楷体_GB2312"/>
          <w:kern w:val="0"/>
          <w:szCs w:val="21"/>
        </w:rPr>
      </w:pPr>
      <w:r>
        <w:rPr>
          <w:rFonts w:hint="eastAsia" w:ascii="楷体_GB2312" w:hAnsi="宋体" w:eastAsia="楷体_GB2312"/>
          <w:kern w:val="0"/>
          <w:szCs w:val="21"/>
        </w:rPr>
        <w:t>公司按照GJB 841《故障报告、分析和纠正措施系统》建立并运行产品和服务的故障报告分析和纠正措施系统，</w:t>
      </w:r>
      <w:r>
        <w:rPr>
          <w:rFonts w:hint="eastAsia" w:ascii="楷体_GB2312" w:hAnsi="宋体" w:eastAsia="楷体_GB2312"/>
          <w:szCs w:val="21"/>
        </w:rPr>
        <w:t>由品质部负责</w:t>
      </w:r>
      <w:r>
        <w:rPr>
          <w:rFonts w:hint="eastAsia" w:ascii="楷体_GB2312" w:hAnsi="宋体" w:eastAsia="楷体_GB2312"/>
          <w:kern w:val="0"/>
          <w:szCs w:val="21"/>
        </w:rPr>
        <w:t>将与最终产品和服务质量有关的问题和纠正措施及其结果向顾客通报。</w:t>
      </w:r>
    </w:p>
    <w:p w14:paraId="766E86E0">
      <w:pPr>
        <w:widowControl/>
        <w:spacing w:line="360" w:lineRule="auto"/>
        <w:jc w:val="left"/>
        <w:rPr>
          <w:rFonts w:hint="eastAsia" w:ascii="Arial" w:hAnsi="Arial" w:cs="Arial"/>
          <w:kern w:val="0"/>
          <w:szCs w:val="21"/>
        </w:rPr>
      </w:pPr>
      <w:r>
        <w:rPr>
          <w:rFonts w:hint="eastAsia" w:ascii="Arial" w:hAnsi="Arial" w:cs="Arial"/>
          <w:kern w:val="0"/>
          <w:szCs w:val="21"/>
        </w:rPr>
        <w:t>10.2.2各责任部门应保留下列成文信息作为证据：</w:t>
      </w:r>
    </w:p>
    <w:p w14:paraId="43FB35B8">
      <w:pPr>
        <w:spacing w:line="360" w:lineRule="auto"/>
        <w:ind w:firstLine="420" w:firstLineChars="200"/>
        <w:rPr>
          <w:rFonts w:hint="eastAsia" w:ascii="宋体" w:hAnsi="宋体"/>
        </w:rPr>
      </w:pPr>
      <w:r>
        <w:rPr>
          <w:rFonts w:hint="eastAsia" w:ascii="宋体" w:hAnsi="宋体"/>
        </w:rPr>
        <w:t>a)不合格性质以及随后所采取的措施；</w:t>
      </w:r>
    </w:p>
    <w:p w14:paraId="15A16595">
      <w:pPr>
        <w:spacing w:line="360" w:lineRule="auto"/>
        <w:ind w:firstLine="420" w:firstLineChars="200"/>
        <w:rPr>
          <w:rFonts w:hint="eastAsia" w:ascii="宋体" w:hAnsi="宋体"/>
        </w:rPr>
      </w:pPr>
      <w:r>
        <w:rPr>
          <w:rFonts w:hint="eastAsia" w:ascii="宋体" w:hAnsi="宋体"/>
        </w:rPr>
        <w:t>b)纠正措施的结果。</w:t>
      </w:r>
    </w:p>
    <w:p w14:paraId="144A4BF3">
      <w:pPr>
        <w:pStyle w:val="3"/>
        <w:rPr>
          <w:rFonts w:hint="eastAsia"/>
        </w:rPr>
      </w:pPr>
      <w:bookmarkStart w:id="210" w:name="_Toc12968"/>
      <w:bookmarkStart w:id="211" w:name="_Toc536539731"/>
      <w:r>
        <w:rPr>
          <w:rFonts w:hint="eastAsia"/>
        </w:rPr>
        <w:t>10.3 持续改进</w:t>
      </w:r>
      <w:bookmarkEnd w:id="210"/>
      <w:bookmarkEnd w:id="211"/>
    </w:p>
    <w:p w14:paraId="25A8E34A">
      <w:pPr>
        <w:spacing w:line="360" w:lineRule="auto"/>
        <w:ind w:firstLine="420" w:firstLineChars="200"/>
        <w:rPr>
          <w:rFonts w:hint="eastAsia"/>
        </w:rPr>
      </w:pPr>
      <w:r>
        <w:rPr>
          <w:rFonts w:hint="eastAsia"/>
        </w:rPr>
        <w:t>公司应持续改进质量管理体系的适应性、充分性和有效性，以不断提升公司的质量管理的绩效。</w:t>
      </w:r>
    </w:p>
    <w:p w14:paraId="7E9C8167">
      <w:pPr>
        <w:spacing w:line="360" w:lineRule="auto"/>
        <w:ind w:firstLine="420" w:firstLineChars="200"/>
        <w:rPr>
          <w:rFonts w:hint="eastAsia"/>
        </w:rPr>
      </w:pPr>
      <w:r>
        <w:rPr>
          <w:rFonts w:hint="eastAsia"/>
        </w:rPr>
        <w:t>公司考虑分析和评价的结果、来自管理评审的输出，以确定是否存在需求或机遇，这些需求和机遇应作为持续改进的一部分。</w:t>
      </w:r>
    </w:p>
    <w:p w14:paraId="6514FEE1">
      <w:pPr>
        <w:spacing w:line="360" w:lineRule="auto"/>
        <w:ind w:firstLine="420" w:firstLineChars="200"/>
        <w:rPr>
          <w:rFonts w:hint="eastAsia"/>
        </w:rPr>
      </w:pPr>
      <w:r>
        <w:rPr>
          <w:rFonts w:hint="eastAsia"/>
        </w:rPr>
        <w:t>适用时，公司应选择和利用适当的工具和方法调查绩效不佳的原因，以支持持续改进。</w:t>
      </w:r>
    </w:p>
    <w:p w14:paraId="6A96C8FB">
      <w:pPr>
        <w:spacing w:line="360" w:lineRule="auto"/>
        <w:ind w:firstLine="420" w:firstLineChars="200"/>
        <w:rPr>
          <w:rFonts w:hint="eastAsia" w:ascii="楷体_GB2312" w:hAnsi="宋体" w:eastAsia="楷体_GB2312"/>
          <w:szCs w:val="21"/>
        </w:rPr>
      </w:pPr>
      <w:r>
        <w:rPr>
          <w:rFonts w:hint="eastAsia" w:ascii="楷体_GB2312" w:hAnsi="宋体" w:eastAsia="楷体_GB2312" w:cs="楷体_GB2312"/>
          <w:szCs w:val="21"/>
        </w:rPr>
        <w:t>公司制定、实施质量管理体系年度改进计划，由品质部负责对完成情况进行评价。</w:t>
      </w:r>
    </w:p>
    <w:p w14:paraId="4C90995E">
      <w:pPr>
        <w:spacing w:line="360" w:lineRule="auto"/>
        <w:ind w:firstLine="420" w:firstLineChars="200"/>
        <w:rPr>
          <w:rFonts w:hint="eastAsia"/>
        </w:rPr>
      </w:pPr>
    </w:p>
    <w:p w14:paraId="5D934B42">
      <w:pPr>
        <w:spacing w:line="360" w:lineRule="auto"/>
        <w:ind w:firstLine="420" w:firstLineChars="200"/>
        <w:rPr>
          <w:rFonts w:hint="eastAsia"/>
        </w:rPr>
      </w:pPr>
    </w:p>
    <w:p w14:paraId="2BCA3E76">
      <w:pPr>
        <w:spacing w:line="360" w:lineRule="auto"/>
        <w:ind w:firstLine="420" w:firstLineChars="200"/>
        <w:rPr>
          <w:rFonts w:hint="eastAsia"/>
        </w:rPr>
      </w:pPr>
    </w:p>
    <w:p w14:paraId="346622C4">
      <w:pPr>
        <w:spacing w:line="360" w:lineRule="auto"/>
        <w:ind w:firstLine="420" w:firstLineChars="200"/>
        <w:rPr>
          <w:rFonts w:hint="eastAsia"/>
        </w:rPr>
      </w:pPr>
    </w:p>
    <w:p w14:paraId="4F78C66B">
      <w:pPr>
        <w:spacing w:line="360" w:lineRule="auto"/>
        <w:ind w:firstLine="420" w:firstLineChars="200"/>
        <w:rPr>
          <w:rFonts w:hint="eastAsia"/>
        </w:rPr>
      </w:pPr>
    </w:p>
    <w:p w14:paraId="5EF2C6CF">
      <w:pPr>
        <w:spacing w:line="360" w:lineRule="auto"/>
        <w:ind w:firstLine="420" w:firstLineChars="200"/>
        <w:rPr>
          <w:rFonts w:hint="eastAsia"/>
        </w:rPr>
      </w:pPr>
    </w:p>
    <w:p w14:paraId="16CF114C">
      <w:pPr>
        <w:spacing w:line="360" w:lineRule="auto"/>
        <w:rPr>
          <w:rFonts w:hint="eastAsia"/>
        </w:rPr>
      </w:pPr>
    </w:p>
    <w:p w14:paraId="77D442E1">
      <w:pPr>
        <w:pStyle w:val="2"/>
        <w:bidi w:val="0"/>
        <w:jc w:val="both"/>
        <w:rPr>
          <w:rFonts w:hint="eastAsia"/>
          <w:lang w:eastAsia="zh-CN"/>
        </w:rPr>
      </w:pPr>
      <w:bookmarkStart w:id="212" w:name="_Toc536539732"/>
      <w:bookmarkStart w:id="213" w:name="_Toc1933"/>
      <w:r>
        <w:rPr>
          <w:rFonts w:hint="eastAsia"/>
          <w:lang w:eastAsia="zh-CN"/>
        </w:rPr>
        <w:br w:type="page"/>
      </w:r>
      <w:r>
        <w:rPr>
          <w:rFonts w:hint="eastAsia"/>
          <w:lang w:eastAsia="zh-CN"/>
        </w:rPr>
        <w:t>附录A 质量管理体系组织机构图</w:t>
      </w:r>
      <w:bookmarkEnd w:id="212"/>
      <w:bookmarkEnd w:id="213"/>
      <w:bookmarkStart w:id="214" w:name="_Toc536539733"/>
    </w:p>
    <w:p w14:paraId="3994AB8C">
      <w:pPr>
        <w:rPr>
          <w:rFonts w:hint="eastAsia"/>
          <w:lang w:eastAsia="zh-CN"/>
        </w:rPr>
      </w:pPr>
    </w:p>
    <w:p w14:paraId="6F3776AA">
      <w:pPr>
        <w:rPr>
          <w:rFonts w:hint="eastAsia"/>
          <w:lang w:eastAsia="zh-CN"/>
        </w:rPr>
      </w:pPr>
    </w:p>
    <w:p w14:paraId="61DAF1AF">
      <w:pPr>
        <w:jc w:val="center"/>
        <w:rPr>
          <w:rFonts w:hint="eastAsia"/>
          <w:lang w:eastAsia="zh-CN"/>
        </w:rPr>
      </w:pPr>
      <w:r>
        <w:rPr>
          <w:rFonts w:hint="eastAsia" w:ascii="宋体" w:hAnsi="宋体"/>
        </w:rPr>
        <w:t>{</w:t>
      </w:r>
      <w:r>
        <w:rPr>
          <w:rFonts w:hint="eastAsia" w:ascii="宋体" w:hAnsi="宋体"/>
          <w:lang w:val="en-US" w:eastAsia="zh-CN"/>
        </w:rPr>
        <w:t>%%</w:t>
      </w:r>
      <w:r>
        <w:rPr>
          <w:rFonts w:hint="eastAsia" w:ascii="宋体" w:hAnsi="宋体"/>
        </w:rPr>
        <w:t>orgChart}</w:t>
      </w:r>
    </w:p>
    <w:p w14:paraId="271901C5">
      <w:pPr>
        <w:rPr>
          <w:rFonts w:hint="eastAsia"/>
          <w:lang w:eastAsia="zh-CN"/>
        </w:rPr>
      </w:pPr>
    </w:p>
    <w:p w14:paraId="7F323F25">
      <w:pPr>
        <w:pStyle w:val="2"/>
        <w:bidi w:val="0"/>
        <w:jc w:val="both"/>
        <w:rPr>
          <w:rFonts w:hint="eastAsia"/>
          <w:lang w:eastAsia="zh-CN"/>
        </w:rPr>
      </w:pPr>
      <w:bookmarkStart w:id="215" w:name="_Toc29771"/>
      <w:r>
        <w:rPr>
          <w:rFonts w:hint="eastAsia"/>
          <w:lang w:eastAsia="zh-CN"/>
        </w:rPr>
        <w:br w:type="page"/>
      </w:r>
      <w:r>
        <w:rPr>
          <w:rFonts w:hint="eastAsia"/>
          <w:lang w:eastAsia="zh-CN"/>
        </w:rPr>
        <w:t>附件B质量管理体系体系过程与职能矩阵</w:t>
      </w:r>
      <w:bookmarkEnd w:id="214"/>
      <w:bookmarkEnd w:id="215"/>
    </w:p>
    <w:tbl>
      <w:tblPr>
        <w:tblStyle w:val="41"/>
        <w:tblW w:w="4926" w:type="pct"/>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7"/>
        <w:gridCol w:w="6195"/>
      </w:tblGrid>
      <w:tr w14:paraId="46D8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trPr>
        <w:tc>
          <w:tcPr>
            <w:tcW w:w="1313" w:type="pct"/>
            <w:tcBorders>
              <w:top w:val="single" w:color="000000" w:sz="4" w:space="0"/>
              <w:left w:val="single" w:color="000000" w:sz="4" w:space="0"/>
              <w:bottom w:val="single" w:color="000000" w:sz="4" w:space="0"/>
              <w:right w:val="single" w:color="000000" w:sz="4" w:space="0"/>
              <w:tl2br w:val="single" w:color="000000" w:sz="4" w:space="0"/>
            </w:tcBorders>
            <w:shd w:val="clear" w:color="auto" w:fill="FFFFFF"/>
            <w:vAlign w:val="center"/>
          </w:tcPr>
          <w:p w14:paraId="3638B67F">
            <w:pPr>
              <w:tabs>
                <w:tab w:val="left" w:pos="2663"/>
              </w:tabs>
              <w:spacing w:line="400" w:lineRule="exact"/>
              <w:jc w:val="left"/>
              <w:rPr>
                <w:rFonts w:hint="default" w:ascii="宋体" w:hAnsi="宋体" w:cs="宋体"/>
                <w:b w:val="0"/>
                <w:color w:val="000000"/>
                <w:kern w:val="0"/>
                <w:sz w:val="21"/>
                <w:szCs w:val="21"/>
                <w:vertAlign w:val="baseline"/>
                <w:lang w:val="en-US" w:eastAsia="zh-CN"/>
              </w:rPr>
            </w:pPr>
            <w:r>
              <w:rPr>
                <w:rFonts w:hint="eastAsia" w:ascii="宋体" w:hAnsi="宋体" w:cs="宋体"/>
                <w:b w:val="0"/>
                <w:color w:val="000000"/>
                <w:kern w:val="0"/>
                <w:sz w:val="21"/>
                <w:szCs w:val="21"/>
                <w:vertAlign w:val="baseline"/>
                <w:lang w:val="en-US" w:eastAsia="zh-CN"/>
              </w:rPr>
              <w:tab/>
            </w:r>
            <w:r>
              <w:rPr>
                <w:rFonts w:hint="eastAsia" w:ascii="宋体" w:hAnsi="宋体" w:cs="宋体"/>
                <w:b w:val="0"/>
                <w:color w:val="000000"/>
                <w:kern w:val="0"/>
                <w:sz w:val="21"/>
                <w:szCs w:val="21"/>
                <w:vertAlign w:val="baseline"/>
                <w:lang w:val="en-US" w:eastAsia="zh-CN"/>
              </w:rPr>
              <w:t>部门</w:t>
            </w:r>
          </w:p>
          <w:p w14:paraId="7AC45C61">
            <w:pPr>
              <w:tabs>
                <w:tab w:val="left" w:pos="751"/>
              </w:tabs>
              <w:bidi w:val="0"/>
              <w:spacing w:line="240" w:lineRule="auto"/>
              <w:jc w:val="left"/>
              <w:rPr>
                <w:rFonts w:hint="default" w:ascii="Times New Roman" w:hAnsi="Times New Roman" w:eastAsia="宋体" w:cs="Arial"/>
                <w:kern w:val="0"/>
                <w:sz w:val="28"/>
                <w:szCs w:val="20"/>
                <w:lang w:val="en-US" w:eastAsia="zh-CN" w:bidi="ar-SA"/>
              </w:rPr>
            </w:pPr>
            <w:r>
              <w:rPr>
                <w:rFonts w:hint="eastAsia" w:ascii="Times New Roman" w:hAnsi="Times New Roman" w:cs="Arial"/>
                <w:kern w:val="0"/>
                <w:sz w:val="28"/>
                <w:szCs w:val="20"/>
                <w:lang w:val="en-US" w:eastAsia="zh-CN" w:bidi="ar-SA"/>
              </w:rPr>
              <w:tab/>
            </w:r>
            <w:r>
              <w:rPr>
                <w:rFonts w:hint="eastAsia" w:ascii="Times New Roman" w:hAnsi="Times New Roman" w:cs="Arial"/>
                <w:kern w:val="0"/>
                <w:sz w:val="21"/>
                <w:szCs w:val="21"/>
                <w:lang w:val="en-US" w:eastAsia="zh-CN" w:bidi="ar-SA"/>
              </w:rPr>
              <w:t>过程</w:t>
            </w:r>
          </w:p>
        </w:tc>
        <w:tc>
          <w:tcPr>
            <w:tcW w:w="3686" w:type="pct"/>
            <w:tcBorders>
              <w:top w:val="single" w:color="000000" w:sz="4" w:space="0"/>
              <w:left w:val="single" w:color="000000" w:sz="4" w:space="0"/>
              <w:bottom w:val="single" w:color="000000" w:sz="4" w:space="0"/>
              <w:right w:val="single" w:color="000000" w:sz="4" w:space="0"/>
            </w:tcBorders>
            <w:shd w:val="clear" w:color="auto" w:fill="FFFFFF"/>
            <w:textDirection w:val="tbLrV"/>
            <w:vAlign w:val="top"/>
          </w:tcPr>
          <w:p w14:paraId="2290F8B7">
            <w:pPr>
              <w:keepNext w:val="0"/>
              <w:keepLines w:val="0"/>
              <w:pageBreakBefore w:val="0"/>
              <w:widowControl w:val="0"/>
              <w:kinsoku/>
              <w:wordWrap/>
              <w:overflowPunct/>
              <w:topLinePunct w:val="0"/>
              <w:autoSpaceDE/>
              <w:autoSpaceDN/>
              <w:bidi w:val="0"/>
              <w:adjustRightInd/>
              <w:snapToGrid w:val="0"/>
              <w:spacing w:line="240" w:lineRule="exact"/>
              <w:ind w:left="113" w:right="113"/>
              <w:jc w:val="center"/>
              <w:textAlignment w:val="auto"/>
              <w:rPr>
                <w:rFonts w:hint="eastAsia" w:ascii="宋体" w:hAnsi="宋体" w:cs="宋体"/>
                <w:b w:val="0"/>
                <w:color w:val="000000"/>
                <w:kern w:val="0"/>
                <w:sz w:val="21"/>
                <w:szCs w:val="21"/>
                <w:vertAlign w:val="baseline"/>
                <w:lang w:val="en-US" w:eastAsia="zh-CN"/>
              </w:rPr>
            </w:pPr>
            <w:r>
              <w:rPr>
                <w:rFonts w:hint="eastAsia" w:ascii="宋体" w:hAnsi="宋体" w:cs="宋体"/>
                <w:b w:val="0"/>
                <w:color w:val="000000"/>
                <w:kern w:val="0"/>
                <w:sz w:val="21"/>
                <w:szCs w:val="21"/>
                <w:vertAlign w:val="baseline"/>
                <w:lang w:val="en-US" w:eastAsia="zh-CN"/>
              </w:rPr>
              <w:t>{#allDepts}</w:t>
            </w:r>
          </w:p>
          <w:p w14:paraId="0593D5DF">
            <w:pPr>
              <w:keepNext w:val="0"/>
              <w:keepLines w:val="0"/>
              <w:pageBreakBefore w:val="0"/>
              <w:widowControl w:val="0"/>
              <w:kinsoku/>
              <w:wordWrap/>
              <w:overflowPunct/>
              <w:topLinePunct w:val="0"/>
              <w:autoSpaceDE/>
              <w:autoSpaceDN/>
              <w:bidi w:val="0"/>
              <w:adjustRightInd/>
              <w:snapToGrid w:val="0"/>
              <w:spacing w:line="240" w:lineRule="exact"/>
              <w:ind w:left="113" w:right="113"/>
              <w:jc w:val="center"/>
              <w:textAlignment w:val="auto"/>
              <w:rPr>
                <w:rFonts w:hint="default" w:ascii="宋体" w:hAnsi="宋体" w:cs="宋体"/>
                <w:b w:val="0"/>
                <w:color w:val="000000"/>
                <w:kern w:val="0"/>
                <w:sz w:val="21"/>
                <w:szCs w:val="21"/>
                <w:vertAlign w:val="baseline"/>
                <w:lang w:val="en-US" w:eastAsia="zh-CN"/>
              </w:rPr>
            </w:pPr>
            <w:r>
              <w:rPr>
                <w:rFonts w:hint="eastAsia" w:ascii="宋体" w:hAnsi="宋体" w:cs="宋体"/>
                <w:b w:val="0"/>
                <w:color w:val="000000"/>
                <w:kern w:val="0"/>
                <w:sz w:val="21"/>
                <w:szCs w:val="21"/>
                <w:vertAlign w:val="baseline"/>
                <w:lang w:val="en-US" w:eastAsia="zh-CN"/>
              </w:rPr>
              <w:t>{deptName}</w:t>
            </w:r>
          </w:p>
          <w:p w14:paraId="24A6A98B">
            <w:pPr>
              <w:keepNext w:val="0"/>
              <w:keepLines w:val="0"/>
              <w:pageBreakBefore w:val="0"/>
              <w:widowControl w:val="0"/>
              <w:kinsoku/>
              <w:wordWrap/>
              <w:overflowPunct/>
              <w:topLinePunct w:val="0"/>
              <w:autoSpaceDE/>
              <w:autoSpaceDN/>
              <w:bidi w:val="0"/>
              <w:adjustRightInd/>
              <w:snapToGrid w:val="0"/>
              <w:spacing w:line="240" w:lineRule="exact"/>
              <w:ind w:left="113" w:right="113"/>
              <w:jc w:val="center"/>
              <w:textAlignment w:val="auto"/>
              <w:rPr>
                <w:rFonts w:hint="eastAsia" w:ascii="宋体" w:hAnsi="宋体" w:cs="宋体"/>
                <w:b w:val="0"/>
                <w:color w:val="000000"/>
                <w:kern w:val="0"/>
                <w:sz w:val="21"/>
                <w:szCs w:val="21"/>
                <w:vertAlign w:val="baseline"/>
                <w:lang w:val="en-US" w:eastAsia="zh-CN"/>
              </w:rPr>
            </w:pPr>
          </w:p>
          <w:p w14:paraId="4AF5443A">
            <w:pPr>
              <w:keepNext w:val="0"/>
              <w:keepLines w:val="0"/>
              <w:pageBreakBefore w:val="0"/>
              <w:widowControl w:val="0"/>
              <w:kinsoku/>
              <w:wordWrap/>
              <w:overflowPunct/>
              <w:topLinePunct w:val="0"/>
              <w:autoSpaceDE/>
              <w:autoSpaceDN/>
              <w:bidi w:val="0"/>
              <w:adjustRightInd/>
              <w:snapToGrid w:val="0"/>
              <w:spacing w:line="240" w:lineRule="exact"/>
              <w:ind w:left="113" w:right="113"/>
              <w:jc w:val="center"/>
              <w:textAlignment w:val="auto"/>
              <w:rPr>
                <w:rFonts w:hint="eastAsia" w:ascii="宋体" w:hAnsi="宋体" w:cs="宋体"/>
                <w:b w:val="0"/>
                <w:color w:val="000000"/>
                <w:kern w:val="0"/>
                <w:sz w:val="21"/>
                <w:szCs w:val="21"/>
                <w:vertAlign w:val="baseline"/>
                <w:lang w:val="en-US" w:eastAsia="zh-CN"/>
              </w:rPr>
            </w:pPr>
            <w:r>
              <w:rPr>
                <w:rFonts w:hint="eastAsia" w:ascii="宋体" w:hAnsi="宋体" w:cs="宋体"/>
                <w:b w:val="0"/>
                <w:color w:val="000000"/>
                <w:kern w:val="0"/>
                <w:sz w:val="21"/>
                <w:szCs w:val="21"/>
                <w:vertAlign w:val="baseline"/>
                <w:lang w:val="en-US" w:eastAsia="zh-CN"/>
              </w:rPr>
              <w:t>{/allDepts}</w:t>
            </w:r>
          </w:p>
        </w:tc>
      </w:tr>
      <w:tr w14:paraId="2B9F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C4FA81">
            <w:pPr>
              <w:spacing w:line="240" w:lineRule="auto"/>
              <w:jc w:val="both"/>
              <w:rPr>
                <w:rFonts w:hint="default" w:ascii="宋体" w:hAnsi="宋体" w:cs="宋体"/>
                <w:b w:val="0"/>
                <w:color w:val="000000"/>
                <w:kern w:val="0"/>
                <w:sz w:val="21"/>
                <w:szCs w:val="21"/>
                <w:vertAlign w:val="baseline"/>
                <w:lang w:val="en-US" w:eastAsia="zh-CN"/>
              </w:rPr>
            </w:pPr>
            <w:r>
              <w:rPr>
                <w:rFonts w:hint="default" w:ascii="宋体" w:hAnsi="宋体" w:cs="宋体"/>
                <w:b w:val="0"/>
                <w:color w:val="000000"/>
                <w:kern w:val="0"/>
                <w:sz w:val="21"/>
                <w:szCs w:val="21"/>
                <w:vertAlign w:val="baseline"/>
                <w:lang w:val="en-US" w:eastAsia="zh-CN"/>
              </w:rPr>
              <w:t>{#clauses}{clauseNum}</w:t>
            </w:r>
            <w:r>
              <w:rPr>
                <w:rFonts w:hint="eastAsia" w:ascii="宋体" w:hAnsi="宋体" w:cs="宋体"/>
                <w:b w:val="0"/>
                <w:color w:val="000000"/>
                <w:kern w:val="0"/>
                <w:sz w:val="21"/>
                <w:szCs w:val="21"/>
                <w:vertAlign w:val="baseline"/>
                <w:lang w:val="en-US" w:eastAsia="zh-CN"/>
              </w:rPr>
              <w:t xml:space="preserve"> </w:t>
            </w:r>
            <w:r>
              <w:rPr>
                <w:rFonts w:hint="default" w:ascii="宋体" w:hAnsi="宋体" w:cs="宋体"/>
                <w:b w:val="0"/>
                <w:color w:val="000000"/>
                <w:kern w:val="0"/>
                <w:sz w:val="21"/>
                <w:szCs w:val="21"/>
                <w:vertAlign w:val="baseline"/>
                <w:lang w:val="en-US" w:eastAsia="zh-CN"/>
              </w:rPr>
              <w:t>{content}</w:t>
            </w:r>
          </w:p>
        </w:tc>
        <w:tc>
          <w:tcPr>
            <w:tcW w:w="36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A18C4D">
            <w:pPr>
              <w:spacing w:line="400" w:lineRule="exact"/>
              <w:jc w:val="both"/>
              <w:rPr>
                <w:rFonts w:hint="eastAsia" w:ascii="宋体" w:hAnsi="宋体" w:cs="宋体"/>
                <w:b w:val="0"/>
                <w:color w:val="000000"/>
                <w:kern w:val="0"/>
                <w:sz w:val="21"/>
                <w:szCs w:val="21"/>
                <w:vertAlign w:val="baseline"/>
                <w:lang w:val="en-US" w:eastAsia="zh-CN"/>
              </w:rPr>
            </w:pPr>
            <w:r>
              <w:rPr>
                <w:rFonts w:hint="eastAsia" w:ascii="宋体" w:hAnsi="宋体" w:cs="宋体"/>
                <w:b w:val="0"/>
                <w:color w:val="000000"/>
                <w:kern w:val="0"/>
                <w:sz w:val="24"/>
                <w:szCs w:val="24"/>
                <w:vertAlign w:val="baseline"/>
                <w:lang w:val="en-US" w:eastAsia="zh-CN"/>
              </w:rPr>
              <w:t>{#deptValues}{.}  {/deptValues}</w:t>
            </w:r>
            <w:r>
              <w:rPr>
                <w:rFonts w:hint="default" w:ascii="宋体" w:hAnsi="宋体" w:cs="宋体"/>
                <w:b w:val="0"/>
                <w:color w:val="000000"/>
                <w:kern w:val="0"/>
                <w:sz w:val="24"/>
                <w:szCs w:val="24"/>
                <w:vertAlign w:val="baseline"/>
                <w:lang w:val="en-US" w:eastAsia="zh-CN"/>
              </w:rPr>
              <w:t>{/clauses}</w:t>
            </w:r>
          </w:p>
        </w:tc>
      </w:tr>
    </w:tbl>
    <w:p w14:paraId="0788B989">
      <w:pPr>
        <w:spacing w:line="400" w:lineRule="exact"/>
        <w:ind w:firstLine="686" w:firstLineChars="245"/>
        <w:jc w:val="center"/>
        <w:rPr>
          <w:rFonts w:hint="eastAsia" w:ascii="宋体" w:hAnsi="宋体" w:cs="宋体"/>
          <w:color w:val="FF0000"/>
          <w:kern w:val="0"/>
          <w:sz w:val="28"/>
          <w:szCs w:val="28"/>
          <w:lang w:val="en-US" w:eastAsia="zh-CN"/>
        </w:rPr>
      </w:pPr>
    </w:p>
    <w:p w14:paraId="38750322">
      <w:pPr>
        <w:spacing w:line="400" w:lineRule="exact"/>
        <w:jc w:val="left"/>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▲主管部门  ●归口部门  ○配合部门</w:t>
      </w:r>
    </w:p>
    <w:p w14:paraId="087FA655">
      <w:pPr>
        <w:spacing w:before="156" w:beforeLines="50"/>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备注说明：{remarks}</w:t>
      </w:r>
    </w:p>
    <w:p w14:paraId="78666D19">
      <w:pPr>
        <w:spacing w:before="156" w:beforeLines="50"/>
        <w:rPr>
          <w:rFonts w:hint="eastAsia"/>
          <w:lang w:eastAsia="zh-CN"/>
        </w:rPr>
      </w:pPr>
      <w:r>
        <w:rPr>
          <w:rFonts w:hint="eastAsia" w:ascii="宋体" w:hAnsi="宋体"/>
          <w:szCs w:val="21"/>
        </w:rPr>
        <w:br w:type="page"/>
      </w:r>
      <w:bookmarkStart w:id="216" w:name="_Toc30004"/>
      <w:bookmarkStart w:id="217" w:name="_Toc536539734"/>
      <w:r>
        <w:rPr>
          <w:rFonts w:hint="eastAsia" w:ascii="黑体" w:hAnsi="Times New Roman" w:eastAsia="黑体" w:cs="Times New Roman"/>
          <w:bCs/>
          <w:kern w:val="0"/>
          <w:sz w:val="28"/>
          <w:szCs w:val="28"/>
          <w:lang w:val="en-US" w:eastAsia="zh-CN" w:bidi="ar-SA"/>
        </w:rPr>
        <w:t>附件C过程文件目录</w:t>
      </w:r>
      <w:bookmarkEnd w:id="216"/>
      <w:bookmarkEnd w:id="217"/>
    </w:p>
    <w:p w14:paraId="30A76556">
      <w:pPr>
        <w:pStyle w:val="139"/>
        <w:ind w:left="0"/>
        <w:jc w:val="both"/>
        <w:rPr>
          <w:rFonts w:hint="eastAsia" w:ascii="黑体" w:eastAsia="黑体"/>
          <w:bCs/>
          <w:sz w:val="28"/>
          <w:szCs w:val="28"/>
        </w:rPr>
      </w:pPr>
      <w:r>
        <w:rPr>
          <w:rFonts w:hint="eastAsia" w:ascii="黑体" w:eastAsia="黑体"/>
          <w:bCs/>
          <w:sz w:val="28"/>
          <w:szCs w:val="28"/>
        </w:rPr>
        <w:t>公司过程文件</w:t>
      </w:r>
      <w:r>
        <w:rPr>
          <w:rFonts w:hint="eastAsia" w:ascii="黑体" w:eastAsia="黑体"/>
          <w:bCs/>
          <w:sz w:val="28"/>
          <w:szCs w:val="28"/>
          <w:lang w:eastAsia="zh-CN"/>
        </w:rPr>
        <w:t>(程序文件)</w:t>
      </w:r>
      <w:r>
        <w:rPr>
          <w:rFonts w:hint="eastAsia" w:ascii="黑体" w:eastAsia="黑体"/>
          <w:bCs/>
          <w:sz w:val="28"/>
          <w:szCs w:val="28"/>
        </w:rPr>
        <w:t>目录</w:t>
      </w:r>
    </w:p>
    <w:p w14:paraId="4E5D5A06">
      <w:pPr>
        <w:rPr>
          <w:rFonts w:ascii="黑体" w:hAnsi="黑体" w:eastAsia="黑体"/>
          <w:szCs w:val="21"/>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5639"/>
      </w:tblGrid>
      <w:tr w14:paraId="1FE1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08" w:type="dxa"/>
            <w:vAlign w:val="center"/>
          </w:tcPr>
          <w:p w14:paraId="4AB5B1E2">
            <w:pPr>
              <w:jc w:val="center"/>
              <w:rPr>
                <w:rFonts w:ascii="宋体" w:hAnsi="宋体" w:cs="Times New Roman"/>
                <w:kern w:val="2"/>
                <w:sz w:val="21"/>
                <w:szCs w:val="21"/>
              </w:rPr>
            </w:pPr>
            <w:r>
              <w:rPr>
                <w:rFonts w:hint="eastAsia" w:ascii="宋体" w:hAnsi="宋体" w:cs="Times New Roman"/>
                <w:kern w:val="2"/>
                <w:sz w:val="21"/>
                <w:szCs w:val="21"/>
              </w:rPr>
              <w:t>序号</w:t>
            </w:r>
          </w:p>
        </w:tc>
        <w:tc>
          <w:tcPr>
            <w:tcW w:w="5639" w:type="dxa"/>
            <w:vAlign w:val="center"/>
          </w:tcPr>
          <w:p w14:paraId="2DF3EF43">
            <w:pPr>
              <w:jc w:val="center"/>
              <w:rPr>
                <w:rFonts w:ascii="宋体" w:hAnsi="宋体" w:cs="Times New Roman"/>
                <w:kern w:val="2"/>
                <w:sz w:val="21"/>
                <w:szCs w:val="21"/>
              </w:rPr>
            </w:pPr>
            <w:r>
              <w:rPr>
                <w:rFonts w:hint="eastAsia" w:ascii="宋体" w:hAnsi="宋体" w:cs="Times New Roman"/>
                <w:kern w:val="2"/>
                <w:sz w:val="21"/>
                <w:szCs w:val="21"/>
              </w:rPr>
              <w:t>程序文件名称</w:t>
            </w:r>
          </w:p>
        </w:tc>
      </w:tr>
      <w:tr w14:paraId="62D9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1808" w:type="dxa"/>
            <w:vAlign w:val="center"/>
          </w:tcPr>
          <w:p w14:paraId="70AC701C">
            <w:pPr>
              <w:widowControl/>
              <w:jc w:val="center"/>
              <w:textAlignment w:val="center"/>
              <w:rPr>
                <w:rFonts w:ascii="宋体" w:hAnsi="宋体" w:cs="Times New Roman"/>
                <w:color w:val="auto"/>
                <w:kern w:val="2"/>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{#temps}{index}</w:t>
            </w:r>
          </w:p>
        </w:tc>
        <w:tc>
          <w:tcPr>
            <w:tcW w:w="5639" w:type="dxa"/>
            <w:vAlign w:val="center"/>
          </w:tcPr>
          <w:p w14:paraId="33E6B260">
            <w:pPr>
              <w:jc w:val="left"/>
              <w:rPr>
                <w:rFonts w:ascii="宋体" w:hAnsi="宋体" w:cs="Times New Roman"/>
                <w:color w:val="auto"/>
                <w:kern w:val="2"/>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{templateName}{/temps}</w:t>
            </w:r>
          </w:p>
        </w:tc>
      </w:tr>
    </w:tbl>
    <w:p w14:paraId="70BB74E0">
      <w:pPr>
        <w:spacing w:line="360" w:lineRule="auto"/>
        <w:rPr>
          <w:rFonts w:cs="Times New Roman"/>
          <w:kern w:val="2"/>
          <w:sz w:val="24"/>
          <w:szCs w:val="24"/>
        </w:rPr>
      </w:pPr>
    </w:p>
    <w:p w14:paraId="18FCA4F3">
      <w:pPr>
        <w:spacing w:line="360" w:lineRule="auto"/>
        <w:rPr>
          <w:rFonts w:cs="Times New Roman"/>
          <w:kern w:val="2"/>
          <w:sz w:val="24"/>
          <w:szCs w:val="24"/>
        </w:rPr>
        <w:sectPr>
          <w:pgSz w:w="11906" w:h="16838"/>
          <w:pgMar w:top="1247" w:right="1797" w:bottom="471" w:left="1797" w:header="851" w:footer="992" w:gutter="0"/>
          <w:cols w:space="720" w:num="1"/>
          <w:docGrid w:type="lines" w:linePitch="312" w:charSpace="0"/>
        </w:sectPr>
      </w:pPr>
    </w:p>
    <w:p w14:paraId="203C232A">
      <w:pPr>
        <w:pStyle w:val="2"/>
        <w:bidi w:val="0"/>
        <w:jc w:val="both"/>
        <w:rPr>
          <w:rFonts w:hint="eastAsia"/>
          <w:lang w:eastAsia="zh-CN"/>
        </w:rPr>
      </w:pPr>
      <w:bookmarkStart w:id="218" w:name="_Toc17053"/>
      <w:bookmarkStart w:id="219" w:name="_Toc536539735"/>
      <w:r>
        <w:rPr>
          <w:rFonts w:hint="eastAsia"/>
          <w:lang w:eastAsia="zh-CN"/>
        </w:rPr>
        <w:t>附录D产品实现流程</w:t>
      </w:r>
      <w:bookmarkEnd w:id="218"/>
      <w:bookmarkEnd w:id="219"/>
    </w:p>
    <w:p w14:paraId="30BC975D">
      <w:pPr>
        <w:tabs>
          <w:tab w:val="left" w:pos="2710"/>
        </w:tabs>
        <w:rPr>
          <w:rFonts w:hint="eastAsia" w:ascii="黑体" w:eastAsia="黑体"/>
          <w:b/>
          <w:bCs/>
        </w:rPr>
      </w:pPr>
    </w:p>
    <w:p w14:paraId="7FA903B7">
      <w:pPr>
        <w:spacing w:line="312" w:lineRule="auto"/>
        <w:jc w:val="center"/>
        <w:rPr>
          <w:rFonts w:hint="eastAsia" w:ascii="宋体" w:hAnsi="宋体"/>
          <w:bCs/>
          <w:szCs w:val="21"/>
        </w:rPr>
      </w:pPr>
      <w:r>
        <w:rPr>
          <w:rFonts w:hint="eastAsia" w:ascii="宋体" w:hAnsi="宋体"/>
          <w:bCs/>
          <w:szCs w:val="21"/>
        </w:rPr>
        <w:t>{#hasProductServiceImages}</w:t>
      </w:r>
    </w:p>
    <w:p w14:paraId="0B8DE716">
      <w:pPr>
        <w:spacing w:line="312" w:lineRule="auto"/>
        <w:jc w:val="center"/>
        <w:rPr>
          <w:rFonts w:hint="eastAsia" w:ascii="宋体" w:hAnsi="宋体"/>
          <w:bCs/>
          <w:szCs w:val="21"/>
        </w:rPr>
      </w:pPr>
      <w:r>
        <w:rPr>
          <w:rFonts w:hint="eastAsia" w:ascii="宋体" w:hAnsi="宋体"/>
          <w:bCs/>
          <w:szCs w:val="21"/>
        </w:rPr>
        <w:t>产品和服务实现过程图（共{productServiceCount}张）：</w:t>
      </w:r>
    </w:p>
    <w:p w14:paraId="2B219818">
      <w:pPr>
        <w:spacing w:line="312" w:lineRule="auto"/>
        <w:jc w:val="center"/>
        <w:rPr>
          <w:rFonts w:hint="eastAsia" w:ascii="宋体" w:hAnsi="宋体"/>
          <w:bCs/>
          <w:szCs w:val="21"/>
        </w:rPr>
      </w:pPr>
      <w:r>
        <w:rPr>
          <w:rFonts w:hint="eastAsia" w:ascii="宋体" w:hAnsi="宋体"/>
          <w:bCs/>
          <w:szCs w:val="21"/>
        </w:rPr>
        <w:t>{#productServiceImageObjects}</w:t>
      </w:r>
    </w:p>
    <w:p w14:paraId="38E9437B">
      <w:pPr>
        <w:spacing w:line="312" w:lineRule="auto"/>
        <w:jc w:val="center"/>
        <w:rPr>
          <w:rFonts w:hint="eastAsia" w:ascii="宋体" w:hAnsi="宋体"/>
          <w:bCs/>
          <w:szCs w:val="21"/>
        </w:rPr>
      </w:pPr>
      <w:r>
        <w:rPr>
          <w:rFonts w:hint="eastAsia" w:ascii="宋体" w:hAnsi="宋体"/>
          <w:bCs/>
          <w:szCs w:val="21"/>
        </w:rPr>
        <w:t>{%</w:t>
      </w:r>
      <w:r>
        <w:rPr>
          <w:rFonts w:hint="eastAsia" w:ascii="宋体" w:hAnsi="宋体"/>
          <w:bCs/>
          <w:szCs w:val="21"/>
          <w:lang w:val="en-US" w:eastAsia="zh-CN"/>
        </w:rPr>
        <w:t>%</w:t>
      </w:r>
      <w:r>
        <w:rPr>
          <w:rFonts w:hint="eastAsia" w:ascii="宋体" w:hAnsi="宋体"/>
          <w:bCs/>
          <w:szCs w:val="21"/>
        </w:rPr>
        <w:t>image}</w:t>
      </w:r>
    </w:p>
    <w:p w14:paraId="17D09C61">
      <w:pPr>
        <w:spacing w:line="312" w:lineRule="auto"/>
        <w:jc w:val="center"/>
        <w:rPr>
          <w:rFonts w:hint="eastAsia" w:ascii="宋体" w:hAnsi="宋体"/>
          <w:bCs/>
          <w:szCs w:val="21"/>
        </w:rPr>
      </w:pPr>
      <w:r>
        <w:rPr>
          <w:rFonts w:hint="eastAsia" w:ascii="宋体" w:hAnsi="宋体"/>
          <w:bCs/>
          <w:szCs w:val="21"/>
        </w:rPr>
        <w:t>{/productServiceImageObjects}</w:t>
      </w:r>
    </w:p>
    <w:p w14:paraId="3A1515A5">
      <w:pPr>
        <w:spacing w:line="312" w:lineRule="auto"/>
        <w:jc w:val="center"/>
        <w:rPr>
          <w:rFonts w:hint="eastAsia" w:ascii="宋体" w:hAnsi="宋体"/>
          <w:bCs/>
          <w:szCs w:val="21"/>
        </w:rPr>
      </w:pPr>
      <w:r>
        <w:rPr>
          <w:rFonts w:hint="eastAsia" w:ascii="宋体" w:hAnsi="宋体"/>
          <w:bCs/>
          <w:szCs w:val="21"/>
        </w:rPr>
        <w:t>{/hasProductServiceImages}</w:t>
      </w:r>
    </w:p>
    <w:p w14:paraId="5BCD762D">
      <w:pPr>
        <w:spacing w:line="312" w:lineRule="auto"/>
        <w:jc w:val="center"/>
        <w:rPr>
          <w:rFonts w:hint="eastAsia" w:ascii="宋体" w:hAnsi="宋体"/>
          <w:bCs/>
          <w:szCs w:val="21"/>
        </w:rPr>
      </w:pPr>
      <w:r>
        <w:rPr>
          <w:rFonts w:hint="eastAsia" w:ascii="宋体" w:hAnsi="宋体"/>
          <w:bCs/>
          <w:szCs w:val="21"/>
        </w:rPr>
        <w:t>{^hasProductServiceImages}</w:t>
      </w:r>
    </w:p>
    <w:p w14:paraId="76F0313B">
      <w:pPr>
        <w:spacing w:line="312" w:lineRule="auto"/>
        <w:jc w:val="center"/>
        <w:rPr>
          <w:rFonts w:hint="eastAsia" w:ascii="宋体" w:hAnsi="宋体"/>
          <w:bCs/>
          <w:szCs w:val="21"/>
        </w:rPr>
      </w:pPr>
      <w:r>
        <w:rPr>
          <w:rFonts w:hint="eastAsia" w:ascii="宋体" w:hAnsi="宋体"/>
          <w:bCs/>
          <w:szCs w:val="21"/>
        </w:rPr>
        <w:t>暂无产品和服务实现过程图</w:t>
      </w:r>
    </w:p>
    <w:p w14:paraId="6CA9A70D">
      <w:pPr>
        <w:spacing w:line="312" w:lineRule="auto"/>
        <w:jc w:val="center"/>
        <w:rPr>
          <w:rFonts w:hint="eastAsia" w:ascii="宋体" w:hAnsi="宋体"/>
          <w:bCs/>
          <w:szCs w:val="21"/>
        </w:rPr>
      </w:pPr>
      <w:r>
        <w:rPr>
          <w:rFonts w:hint="eastAsia" w:ascii="宋体" w:hAnsi="宋体"/>
          <w:bCs/>
          <w:szCs w:val="21"/>
        </w:rPr>
        <w:t>{/hasProductServiceImages}</w:t>
      </w:r>
    </w:p>
    <w:sectPr>
      <w:headerReference r:id="rId8" w:type="default"/>
      <w:pgSz w:w="11906" w:h="16838"/>
      <w:pgMar w:top="1440" w:right="1797" w:bottom="1440" w:left="1701"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细等线简体">
    <w:altName w:val="宋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Garamond">
    <w:altName w:val="TsangerFeiBai W05"/>
    <w:panose1 w:val="02020404030301010803"/>
    <w:charset w:val="00"/>
    <w:family w:val="roman"/>
    <w:pitch w:val="default"/>
    <w:sig w:usb0="00000000" w:usb1="00000000" w:usb2="00000000" w:usb3="00000000" w:csb0="0000009F" w:csb1="DFD70000"/>
  </w:font>
  <w:font w:name="TsangerFeiBai W05">
    <w:panose1 w:val="02020400000000000000"/>
    <w:charset w:val="00"/>
    <w:family w:val="auto"/>
    <w:pitch w:val="default"/>
    <w:sig w:usb0="80000003" w:usb1="08012000" w:usb2="00000012" w:usb3="00000000" w:csb0="00000001" w:csb1="00000000"/>
  </w:font>
  <w:font w:name="方正姚体">
    <w:altName w:val="宋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RSQWTQ+ËÎÌå">
    <w:altName w:val="Noto Sans SC"/>
    <w:panose1 w:val="00000000000000000000"/>
    <w:charset w:val="01"/>
    <w:family w:val="auto"/>
    <w:pitch w:val="default"/>
    <w:sig w:usb0="00000000" w:usb1="00000000" w:usb2="00000006" w:usb3="00000000" w:csb0="00040001" w:csb1="00000000"/>
  </w:font>
  <w:font w:name="Noto Sans SC">
    <w:panose1 w:val="020B0500000000000000"/>
    <w:charset w:val="86"/>
    <w:family w:val="auto"/>
    <w:pitch w:val="default"/>
    <w:sig w:usb0="20000083" w:usb1="2ADF3C10" w:usb2="00000016" w:usb3="00000000" w:csb0="60060107" w:csb1="00000000"/>
  </w:font>
  <w:font w:name="LAMHAG+¿¬Ìå_GB2312">
    <w:altName w:val="宋体"/>
    <w:panose1 w:val="00000000000000000000"/>
    <w:charset w:val="86"/>
    <w:family w:val="modern"/>
    <w:pitch w:val="default"/>
    <w:sig w:usb0="00000000" w:usb1="00000000" w:usb2="00000000" w:usb3="00000000" w:csb0="00040000" w:csb1="00000000"/>
  </w:font>
  <w:font w:name="WOFHWR+¿¬Ìå_GB2312">
    <w:altName w:val="宋体"/>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C1E52">
    <w:pPr>
      <w:pStyle w:val="25"/>
      <w:framePr w:wrap="around" w:vAnchor="text" w:hAnchor="margin" w:xAlign="center" w:y="1"/>
      <w:rPr>
        <w:rStyle w:val="43"/>
      </w:rPr>
    </w:pPr>
    <w:r>
      <w:fldChar w:fldCharType="begin"/>
    </w:r>
    <w:r>
      <w:rPr>
        <w:rStyle w:val="43"/>
      </w:rPr>
      <w:instrText xml:space="preserve">PAGE  </w:instrText>
    </w:r>
    <w:r>
      <w:fldChar w:fldCharType="separate"/>
    </w:r>
    <w:r>
      <w:rPr>
        <w:rStyle w:val="43"/>
      </w:rPr>
      <w:t>68</w:t>
    </w:r>
    <w:r>
      <w:fldChar w:fldCharType="end"/>
    </w:r>
  </w:p>
  <w:p w14:paraId="4A8783F3">
    <w:pPr>
      <w:pStyle w:val="2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CC618">
    <w:pPr>
      <w:pStyle w:val="25"/>
      <w:framePr w:wrap="around" w:vAnchor="text" w:hAnchor="margin" w:xAlign="center" w:y="1"/>
      <w:rPr>
        <w:rStyle w:val="43"/>
      </w:rPr>
    </w:pPr>
    <w:r>
      <w:fldChar w:fldCharType="begin"/>
    </w:r>
    <w:r>
      <w:rPr>
        <w:rStyle w:val="43"/>
      </w:rPr>
      <w:instrText xml:space="preserve">PAGE  </w:instrText>
    </w:r>
    <w:r>
      <w:fldChar w:fldCharType="separate"/>
    </w:r>
    <w:r>
      <w:fldChar w:fldCharType="end"/>
    </w:r>
  </w:p>
  <w:p w14:paraId="13C25ABC">
    <w:pPr>
      <w:pStyle w:val="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5505D">
    <w:pPr>
      <w:pStyle w:val="26"/>
      <w:ind w:firstLine="900" w:firstLineChars="500"/>
      <w:jc w:val="left"/>
      <w:rPr>
        <w:rFonts w:ascii="宋体" w:hAnsi="宋体"/>
      </w:rPr>
    </w:pPr>
    <w:r>
      <w:rPr>
        <w:rFonts w:hint="eastAsia" w:ascii="宋体" w:hAnsi="宋体"/>
      </w:rPr>
      <w:t xml:space="preserve">                                  质量手册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F6965">
    <w:pPr>
      <w:pStyle w:val="26"/>
      <w:ind w:firstLine="900" w:firstLineChars="500"/>
      <w:jc w:val="both"/>
      <w:rPr>
        <w:rFonts w:ascii="宋体" w:hAnsi="宋体"/>
      </w:rPr>
    </w:pPr>
    <w:r>
      <w:rPr>
        <w:rFonts w:hint="eastAsia" w:ascii="宋体" w:hAnsi="宋体"/>
      </w:rPr>
      <w:t xml:space="preserve">                                质 量 手 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02C5760B"/>
    <w:multiLevelType w:val="multilevel"/>
    <w:tmpl w:val="02C5760B"/>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pStyle w:val="78"/>
      <w:lvlText w:val="%1.%2.%3.%4"/>
      <w:lvlJc w:val="left"/>
      <w:pPr>
        <w:ind w:left="864" w:hanging="864"/>
      </w:pPr>
      <w:rPr>
        <w:b/>
        <w:sz w:val="21"/>
        <w:szCs w:val="21"/>
      </w:r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
    <w:nsid w:val="0B6A1B66"/>
    <w:multiLevelType w:val="multilevel"/>
    <w:tmpl w:val="0B6A1B66"/>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pStyle w:val="87"/>
      <w:lvlText w:val="%1.%2.%3"/>
      <w:lvlJc w:val="left"/>
      <w:pPr>
        <w:ind w:left="1004" w:hanging="720"/>
      </w:pPr>
    </w:lvl>
    <w:lvl w:ilvl="3" w:tentative="0">
      <w:start w:val="1"/>
      <w:numFmt w:val="decimal"/>
      <w:lvlText w:val="%1.%2.%3.%4"/>
      <w:lvlJc w:val="left"/>
      <w:pPr>
        <w:ind w:left="864" w:hanging="864"/>
      </w:pPr>
      <w:rPr>
        <w:b/>
        <w:sz w:val="21"/>
        <w:szCs w:val="21"/>
      </w:r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2">
    <w:nsid w:val="0ECA1BBC"/>
    <w:multiLevelType w:val="multilevel"/>
    <w:tmpl w:val="0ECA1BBC"/>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1C402B9"/>
    <w:multiLevelType w:val="multilevel"/>
    <w:tmpl w:val="21C402B9"/>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A1365BC"/>
    <w:multiLevelType w:val="multilevel"/>
    <w:tmpl w:val="2A1365BC"/>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499A63C6"/>
    <w:multiLevelType w:val="multilevel"/>
    <w:tmpl w:val="499A63C6"/>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4D4768B6"/>
    <w:multiLevelType w:val="multilevel"/>
    <w:tmpl w:val="4D4768B6"/>
    <w:lvl w:ilvl="0" w:tentative="0">
      <w:start w:val="1"/>
      <w:numFmt w:val="lowerLetter"/>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52F54AEF"/>
    <w:multiLevelType w:val="multilevel"/>
    <w:tmpl w:val="52F54AEF"/>
    <w:lvl w:ilvl="0" w:tentative="0">
      <w:start w:val="1"/>
      <w:numFmt w:val="lowerLetter"/>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
    <w:nsid w:val="5FD24F7D"/>
    <w:multiLevelType w:val="multilevel"/>
    <w:tmpl w:val="5FD24F7D"/>
    <w:lvl w:ilvl="0" w:tentative="0">
      <w:start w:val="1"/>
      <w:numFmt w:val="lowerLetter"/>
      <w:lvlText w:val="%1)"/>
      <w:lvlJc w:val="left"/>
      <w:pPr>
        <w:ind w:left="838" w:hanging="360"/>
      </w:pPr>
      <w:rPr>
        <w:rFonts w:hint="default"/>
      </w:rPr>
    </w:lvl>
    <w:lvl w:ilvl="1" w:tentative="0">
      <w:start w:val="1"/>
      <w:numFmt w:val="lowerLetter"/>
      <w:lvlText w:val="%2)"/>
      <w:lvlJc w:val="left"/>
      <w:pPr>
        <w:ind w:left="1318" w:hanging="420"/>
      </w:pPr>
    </w:lvl>
    <w:lvl w:ilvl="2" w:tentative="0">
      <w:start w:val="1"/>
      <w:numFmt w:val="lowerRoman"/>
      <w:lvlText w:val="%3."/>
      <w:lvlJc w:val="right"/>
      <w:pPr>
        <w:ind w:left="1738" w:hanging="420"/>
      </w:pPr>
    </w:lvl>
    <w:lvl w:ilvl="3" w:tentative="0">
      <w:start w:val="1"/>
      <w:numFmt w:val="decimal"/>
      <w:lvlText w:val="%4."/>
      <w:lvlJc w:val="left"/>
      <w:pPr>
        <w:ind w:left="2158" w:hanging="420"/>
      </w:pPr>
    </w:lvl>
    <w:lvl w:ilvl="4" w:tentative="0">
      <w:start w:val="1"/>
      <w:numFmt w:val="lowerLetter"/>
      <w:lvlText w:val="%5)"/>
      <w:lvlJc w:val="left"/>
      <w:pPr>
        <w:ind w:left="2578" w:hanging="420"/>
      </w:pPr>
    </w:lvl>
    <w:lvl w:ilvl="5" w:tentative="0">
      <w:start w:val="1"/>
      <w:numFmt w:val="lowerRoman"/>
      <w:lvlText w:val="%6."/>
      <w:lvlJc w:val="right"/>
      <w:pPr>
        <w:ind w:left="2998" w:hanging="420"/>
      </w:pPr>
    </w:lvl>
    <w:lvl w:ilvl="6" w:tentative="0">
      <w:start w:val="1"/>
      <w:numFmt w:val="decimal"/>
      <w:lvlText w:val="%7."/>
      <w:lvlJc w:val="left"/>
      <w:pPr>
        <w:ind w:left="3418" w:hanging="420"/>
      </w:pPr>
    </w:lvl>
    <w:lvl w:ilvl="7" w:tentative="0">
      <w:start w:val="1"/>
      <w:numFmt w:val="lowerLetter"/>
      <w:lvlText w:val="%8)"/>
      <w:lvlJc w:val="left"/>
      <w:pPr>
        <w:ind w:left="3838" w:hanging="420"/>
      </w:pPr>
    </w:lvl>
    <w:lvl w:ilvl="8" w:tentative="0">
      <w:start w:val="1"/>
      <w:numFmt w:val="lowerRoman"/>
      <w:lvlText w:val="%9."/>
      <w:lvlJc w:val="right"/>
      <w:pPr>
        <w:ind w:left="4258" w:hanging="420"/>
      </w:pPr>
    </w:lvl>
  </w:abstractNum>
  <w:abstractNum w:abstractNumId="9">
    <w:nsid w:val="65955C46"/>
    <w:multiLevelType w:val="multilevel"/>
    <w:tmpl w:val="65955C46"/>
    <w:lvl w:ilvl="0" w:tentative="0">
      <w:start w:val="1"/>
      <w:numFmt w:val="bullet"/>
      <w:pStyle w:val="33"/>
      <w:lvlText w:val=""/>
      <w:lvlPicBulletId w:val="0"/>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69192BFC"/>
    <w:multiLevelType w:val="multilevel"/>
    <w:tmpl w:val="69192BFC"/>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743B43E9"/>
    <w:multiLevelType w:val="multilevel"/>
    <w:tmpl w:val="743B43E9"/>
    <w:lvl w:ilvl="0" w:tentative="0">
      <w:start w:val="10"/>
      <w:numFmt w:val="decimal"/>
      <w:lvlText w:val="%1"/>
      <w:lvlJc w:val="left"/>
      <w:pPr>
        <w:ind w:left="600" w:hanging="600"/>
      </w:pPr>
      <w:rPr>
        <w:rFonts w:hint="default"/>
      </w:rPr>
    </w:lvl>
    <w:lvl w:ilvl="1" w:tentative="0">
      <w:start w:val="2"/>
      <w:numFmt w:val="decimal"/>
      <w:lvlText w:val="%1.%2"/>
      <w:lvlJc w:val="left"/>
      <w:pPr>
        <w:ind w:left="600" w:hanging="60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2">
    <w:nsid w:val="74773B4C"/>
    <w:multiLevelType w:val="multilevel"/>
    <w:tmpl w:val="74773B4C"/>
    <w:lvl w:ilvl="0" w:tentative="0">
      <w:start w:val="1"/>
      <w:numFmt w:val="bullet"/>
      <w:pStyle w:val="117"/>
      <w:lvlText w:val=""/>
      <w:lvlPicBulletId w:val="1"/>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pStyle w:val="101"/>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795B5EE6"/>
    <w:multiLevelType w:val="multilevel"/>
    <w:tmpl w:val="795B5EE6"/>
    <w:lvl w:ilvl="0" w:tentative="0">
      <w:start w:val="1"/>
      <w:numFmt w:val="decimal"/>
      <w:pStyle w:val="2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7A0607CE"/>
    <w:multiLevelType w:val="multilevel"/>
    <w:tmpl w:val="7A0607CE"/>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7D8B1269"/>
    <w:multiLevelType w:val="multilevel"/>
    <w:tmpl w:val="7D8B1269"/>
    <w:lvl w:ilvl="0" w:tentative="0">
      <w:start w:val="1"/>
      <w:numFmt w:val="decimal"/>
      <w:lvlText w:val="%1"/>
      <w:lvlJc w:val="left"/>
      <w:pPr>
        <w:ind w:left="432" w:hanging="432"/>
      </w:pPr>
    </w:lvl>
    <w:lvl w:ilvl="1" w:tentative="0">
      <w:start w:val="1"/>
      <w:numFmt w:val="decimal"/>
      <w:lvlText w:val="%1.%2"/>
      <w:lvlJc w:val="left"/>
      <w:pPr>
        <w:ind w:left="718" w:hanging="576"/>
      </w:pPr>
      <w:rPr>
        <w:rFonts w:hint="default" w:ascii="Times New Roman" w:hAnsi="Times New Roman" w:cs="Times New Roman"/>
      </w:rPr>
    </w:lvl>
    <w:lvl w:ilvl="2" w:tentative="0">
      <w:start w:val="1"/>
      <w:numFmt w:val="decimal"/>
      <w:lvlText w:val="%1.%2.%3"/>
      <w:lvlJc w:val="left"/>
      <w:pPr>
        <w:ind w:left="1146" w:hanging="720"/>
      </w:pPr>
    </w:lvl>
    <w:lvl w:ilvl="3" w:tentative="0">
      <w:start w:val="1"/>
      <w:numFmt w:val="decimal"/>
      <w:pStyle w:val="132"/>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6">
    <w:nsid w:val="7F7D31A9"/>
    <w:multiLevelType w:val="multilevel"/>
    <w:tmpl w:val="7F7D31A9"/>
    <w:lvl w:ilvl="0" w:tentative="0">
      <w:start w:val="1"/>
      <w:numFmt w:val="lowerLetter"/>
      <w:lvlText w:val="%1）"/>
      <w:lvlJc w:val="left"/>
      <w:pPr>
        <w:ind w:left="987"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3"/>
  </w:num>
  <w:num w:numId="2">
    <w:abstractNumId w:val="9"/>
  </w:num>
  <w:num w:numId="3">
    <w:abstractNumId w:val="0"/>
  </w:num>
  <w:num w:numId="4">
    <w:abstractNumId w:val="1"/>
  </w:num>
  <w:num w:numId="5">
    <w:abstractNumId w:val="12"/>
  </w:num>
  <w:num w:numId="6">
    <w:abstractNumId w:val="15"/>
  </w:num>
  <w:num w:numId="7">
    <w:abstractNumId w:val="7"/>
  </w:num>
  <w:num w:numId="8">
    <w:abstractNumId w:val="5"/>
  </w:num>
  <w:num w:numId="9">
    <w:abstractNumId w:val="14"/>
  </w:num>
  <w:num w:numId="10">
    <w:abstractNumId w:val="10"/>
  </w:num>
  <w:num w:numId="11">
    <w:abstractNumId w:val="16"/>
  </w:num>
  <w:num w:numId="12">
    <w:abstractNumId w:val="8"/>
  </w:num>
  <w:num w:numId="13">
    <w:abstractNumId w:val="6"/>
  </w:num>
  <w:num w:numId="14">
    <w:abstractNumId w:val="2"/>
  </w:num>
  <w:num w:numId="15">
    <w:abstractNumId w:val="4"/>
  </w:num>
  <w:num w:numId="16">
    <w:abstractNumId w:val="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1ZTcwZGJjNTk3OWJlNjc0ZGIwNWU1NTQ5MjYzMmIifQ=="/>
  </w:docVars>
  <w:rsids>
    <w:rsidRoot w:val="00172A27"/>
    <w:rsid w:val="000001E3"/>
    <w:rsid w:val="000015DA"/>
    <w:rsid w:val="00002378"/>
    <w:rsid w:val="00004686"/>
    <w:rsid w:val="000061D0"/>
    <w:rsid w:val="00006C5E"/>
    <w:rsid w:val="0000756C"/>
    <w:rsid w:val="000103C0"/>
    <w:rsid w:val="00010525"/>
    <w:rsid w:val="00010C91"/>
    <w:rsid w:val="00012D14"/>
    <w:rsid w:val="0001346B"/>
    <w:rsid w:val="000146FC"/>
    <w:rsid w:val="00014FDE"/>
    <w:rsid w:val="000215CA"/>
    <w:rsid w:val="00022D7D"/>
    <w:rsid w:val="000231F9"/>
    <w:rsid w:val="000263E1"/>
    <w:rsid w:val="00030F85"/>
    <w:rsid w:val="00034CAA"/>
    <w:rsid w:val="00041E03"/>
    <w:rsid w:val="00042C06"/>
    <w:rsid w:val="00043322"/>
    <w:rsid w:val="00046BF3"/>
    <w:rsid w:val="000472A4"/>
    <w:rsid w:val="0005217A"/>
    <w:rsid w:val="000568AB"/>
    <w:rsid w:val="00057ED9"/>
    <w:rsid w:val="000615EE"/>
    <w:rsid w:val="00062870"/>
    <w:rsid w:val="00062A42"/>
    <w:rsid w:val="00063E2F"/>
    <w:rsid w:val="00064BEA"/>
    <w:rsid w:val="00065A54"/>
    <w:rsid w:val="00067BE0"/>
    <w:rsid w:val="00067FE6"/>
    <w:rsid w:val="000710AD"/>
    <w:rsid w:val="00077831"/>
    <w:rsid w:val="00083F95"/>
    <w:rsid w:val="000840C9"/>
    <w:rsid w:val="000841E3"/>
    <w:rsid w:val="00084F1D"/>
    <w:rsid w:val="00085208"/>
    <w:rsid w:val="000912C3"/>
    <w:rsid w:val="000918E8"/>
    <w:rsid w:val="00091D90"/>
    <w:rsid w:val="000926A3"/>
    <w:rsid w:val="000944A4"/>
    <w:rsid w:val="00094B30"/>
    <w:rsid w:val="000956F3"/>
    <w:rsid w:val="0009678B"/>
    <w:rsid w:val="00097F4A"/>
    <w:rsid w:val="000A1CFD"/>
    <w:rsid w:val="000A1D57"/>
    <w:rsid w:val="000A31A5"/>
    <w:rsid w:val="000A3EE8"/>
    <w:rsid w:val="000A5598"/>
    <w:rsid w:val="000A613D"/>
    <w:rsid w:val="000B10B5"/>
    <w:rsid w:val="000B3523"/>
    <w:rsid w:val="000B3927"/>
    <w:rsid w:val="000B5818"/>
    <w:rsid w:val="000B5935"/>
    <w:rsid w:val="000C6A0E"/>
    <w:rsid w:val="000C71E0"/>
    <w:rsid w:val="000D00DE"/>
    <w:rsid w:val="000D0196"/>
    <w:rsid w:val="000D0B11"/>
    <w:rsid w:val="000D14D7"/>
    <w:rsid w:val="000D1AD2"/>
    <w:rsid w:val="000D34D9"/>
    <w:rsid w:val="000D5616"/>
    <w:rsid w:val="000D7D1F"/>
    <w:rsid w:val="000E11CC"/>
    <w:rsid w:val="000E3131"/>
    <w:rsid w:val="000E414F"/>
    <w:rsid w:val="000E4194"/>
    <w:rsid w:val="000E44A6"/>
    <w:rsid w:val="000E5CF6"/>
    <w:rsid w:val="000E65B9"/>
    <w:rsid w:val="000E758A"/>
    <w:rsid w:val="000E7B95"/>
    <w:rsid w:val="000F19AD"/>
    <w:rsid w:val="000F71EF"/>
    <w:rsid w:val="00102928"/>
    <w:rsid w:val="001032E9"/>
    <w:rsid w:val="001044B8"/>
    <w:rsid w:val="00104CD9"/>
    <w:rsid w:val="00105388"/>
    <w:rsid w:val="00107AC9"/>
    <w:rsid w:val="00111320"/>
    <w:rsid w:val="0011163B"/>
    <w:rsid w:val="00113EB5"/>
    <w:rsid w:val="00114364"/>
    <w:rsid w:val="00125136"/>
    <w:rsid w:val="00125B18"/>
    <w:rsid w:val="00126249"/>
    <w:rsid w:val="00127797"/>
    <w:rsid w:val="00131870"/>
    <w:rsid w:val="0013206D"/>
    <w:rsid w:val="00142620"/>
    <w:rsid w:val="00144688"/>
    <w:rsid w:val="00144CDD"/>
    <w:rsid w:val="001451EE"/>
    <w:rsid w:val="00147239"/>
    <w:rsid w:val="001474EA"/>
    <w:rsid w:val="00153624"/>
    <w:rsid w:val="001546A4"/>
    <w:rsid w:val="00156FF1"/>
    <w:rsid w:val="001604EA"/>
    <w:rsid w:val="00160F6D"/>
    <w:rsid w:val="0016114C"/>
    <w:rsid w:val="0016775E"/>
    <w:rsid w:val="001712A1"/>
    <w:rsid w:val="00171DDC"/>
    <w:rsid w:val="00172099"/>
    <w:rsid w:val="001738DC"/>
    <w:rsid w:val="00174C58"/>
    <w:rsid w:val="001869B8"/>
    <w:rsid w:val="00190FFC"/>
    <w:rsid w:val="001940FF"/>
    <w:rsid w:val="00196350"/>
    <w:rsid w:val="00196FA4"/>
    <w:rsid w:val="001A34B9"/>
    <w:rsid w:val="001A4C90"/>
    <w:rsid w:val="001A52D3"/>
    <w:rsid w:val="001B1F00"/>
    <w:rsid w:val="001B269B"/>
    <w:rsid w:val="001B7862"/>
    <w:rsid w:val="001C35EA"/>
    <w:rsid w:val="001C5BBC"/>
    <w:rsid w:val="001C7A3C"/>
    <w:rsid w:val="001D0319"/>
    <w:rsid w:val="001D16D0"/>
    <w:rsid w:val="001D5D09"/>
    <w:rsid w:val="001D6E31"/>
    <w:rsid w:val="001E6265"/>
    <w:rsid w:val="001E70EC"/>
    <w:rsid w:val="002004F6"/>
    <w:rsid w:val="00200526"/>
    <w:rsid w:val="002015D1"/>
    <w:rsid w:val="0020201D"/>
    <w:rsid w:val="00202EC9"/>
    <w:rsid w:val="00203245"/>
    <w:rsid w:val="002034DE"/>
    <w:rsid w:val="00206C10"/>
    <w:rsid w:val="00207475"/>
    <w:rsid w:val="002108AF"/>
    <w:rsid w:val="00211668"/>
    <w:rsid w:val="00212AD7"/>
    <w:rsid w:val="00217A40"/>
    <w:rsid w:val="00221D0D"/>
    <w:rsid w:val="00221F93"/>
    <w:rsid w:val="00222AA3"/>
    <w:rsid w:val="00225444"/>
    <w:rsid w:val="00226AD0"/>
    <w:rsid w:val="00226DA9"/>
    <w:rsid w:val="002276C5"/>
    <w:rsid w:val="00234508"/>
    <w:rsid w:val="00235F87"/>
    <w:rsid w:val="00236BC1"/>
    <w:rsid w:val="002370AD"/>
    <w:rsid w:val="002428AB"/>
    <w:rsid w:val="00244242"/>
    <w:rsid w:val="0025045A"/>
    <w:rsid w:val="00250C7E"/>
    <w:rsid w:val="002520EF"/>
    <w:rsid w:val="0025211C"/>
    <w:rsid w:val="00252B1C"/>
    <w:rsid w:val="0025365C"/>
    <w:rsid w:val="002539ED"/>
    <w:rsid w:val="00255CFE"/>
    <w:rsid w:val="00255E23"/>
    <w:rsid w:val="00257232"/>
    <w:rsid w:val="002614B4"/>
    <w:rsid w:val="00261742"/>
    <w:rsid w:val="0026361F"/>
    <w:rsid w:val="0026413B"/>
    <w:rsid w:val="002710E8"/>
    <w:rsid w:val="00271F0C"/>
    <w:rsid w:val="002737D7"/>
    <w:rsid w:val="00275214"/>
    <w:rsid w:val="002752C2"/>
    <w:rsid w:val="00276842"/>
    <w:rsid w:val="00280B40"/>
    <w:rsid w:val="00286D68"/>
    <w:rsid w:val="002A1251"/>
    <w:rsid w:val="002A2D8D"/>
    <w:rsid w:val="002A3010"/>
    <w:rsid w:val="002A37B2"/>
    <w:rsid w:val="002A5061"/>
    <w:rsid w:val="002A6224"/>
    <w:rsid w:val="002B1730"/>
    <w:rsid w:val="002B1E20"/>
    <w:rsid w:val="002B2ACC"/>
    <w:rsid w:val="002B6941"/>
    <w:rsid w:val="002B745B"/>
    <w:rsid w:val="002C07D8"/>
    <w:rsid w:val="002C44ED"/>
    <w:rsid w:val="002C580E"/>
    <w:rsid w:val="002C5916"/>
    <w:rsid w:val="002C6309"/>
    <w:rsid w:val="002C7AE2"/>
    <w:rsid w:val="002C7B8B"/>
    <w:rsid w:val="002D3644"/>
    <w:rsid w:val="002D3655"/>
    <w:rsid w:val="002D6C5B"/>
    <w:rsid w:val="002E2639"/>
    <w:rsid w:val="002E717F"/>
    <w:rsid w:val="002F2DF8"/>
    <w:rsid w:val="002F323D"/>
    <w:rsid w:val="002F3E0F"/>
    <w:rsid w:val="002F535B"/>
    <w:rsid w:val="002F5A08"/>
    <w:rsid w:val="002F647A"/>
    <w:rsid w:val="00313389"/>
    <w:rsid w:val="00313FEA"/>
    <w:rsid w:val="00313FF5"/>
    <w:rsid w:val="00315B56"/>
    <w:rsid w:val="00317462"/>
    <w:rsid w:val="00324409"/>
    <w:rsid w:val="003273BE"/>
    <w:rsid w:val="00327D57"/>
    <w:rsid w:val="00330708"/>
    <w:rsid w:val="00331BFF"/>
    <w:rsid w:val="00332BB0"/>
    <w:rsid w:val="003342A7"/>
    <w:rsid w:val="00335F46"/>
    <w:rsid w:val="00336AFF"/>
    <w:rsid w:val="00337650"/>
    <w:rsid w:val="00337AB3"/>
    <w:rsid w:val="003549DD"/>
    <w:rsid w:val="00354B1B"/>
    <w:rsid w:val="00356190"/>
    <w:rsid w:val="003577C7"/>
    <w:rsid w:val="0035785D"/>
    <w:rsid w:val="00360496"/>
    <w:rsid w:val="00360CA1"/>
    <w:rsid w:val="0036184A"/>
    <w:rsid w:val="0036334C"/>
    <w:rsid w:val="00364404"/>
    <w:rsid w:val="0036658F"/>
    <w:rsid w:val="003717B7"/>
    <w:rsid w:val="00372C77"/>
    <w:rsid w:val="003765B7"/>
    <w:rsid w:val="0037739B"/>
    <w:rsid w:val="00377E1C"/>
    <w:rsid w:val="0038074E"/>
    <w:rsid w:val="00381789"/>
    <w:rsid w:val="00384672"/>
    <w:rsid w:val="0038658D"/>
    <w:rsid w:val="003867CA"/>
    <w:rsid w:val="00387118"/>
    <w:rsid w:val="0039262B"/>
    <w:rsid w:val="00396040"/>
    <w:rsid w:val="003A01B7"/>
    <w:rsid w:val="003A1684"/>
    <w:rsid w:val="003A2DC1"/>
    <w:rsid w:val="003A6DAE"/>
    <w:rsid w:val="003B01AD"/>
    <w:rsid w:val="003B01ED"/>
    <w:rsid w:val="003B59CF"/>
    <w:rsid w:val="003C3454"/>
    <w:rsid w:val="003C3554"/>
    <w:rsid w:val="003C41D7"/>
    <w:rsid w:val="003C708D"/>
    <w:rsid w:val="003C7E23"/>
    <w:rsid w:val="003D04FC"/>
    <w:rsid w:val="003D3C4B"/>
    <w:rsid w:val="003D667A"/>
    <w:rsid w:val="003E3A99"/>
    <w:rsid w:val="003E418C"/>
    <w:rsid w:val="003E448E"/>
    <w:rsid w:val="003E7F11"/>
    <w:rsid w:val="003F0E9F"/>
    <w:rsid w:val="003F2FAE"/>
    <w:rsid w:val="0040310D"/>
    <w:rsid w:val="0040714B"/>
    <w:rsid w:val="00420C27"/>
    <w:rsid w:val="004222D0"/>
    <w:rsid w:val="00425C8D"/>
    <w:rsid w:val="004265E7"/>
    <w:rsid w:val="00427AF8"/>
    <w:rsid w:val="00432BEF"/>
    <w:rsid w:val="004346F8"/>
    <w:rsid w:val="00434B84"/>
    <w:rsid w:val="00437C54"/>
    <w:rsid w:val="004409EC"/>
    <w:rsid w:val="0044158B"/>
    <w:rsid w:val="004420AB"/>
    <w:rsid w:val="0044237C"/>
    <w:rsid w:val="0044463D"/>
    <w:rsid w:val="00444A8A"/>
    <w:rsid w:val="0044628A"/>
    <w:rsid w:val="0045284B"/>
    <w:rsid w:val="00452FC1"/>
    <w:rsid w:val="00454120"/>
    <w:rsid w:val="0045499B"/>
    <w:rsid w:val="00454D62"/>
    <w:rsid w:val="00457986"/>
    <w:rsid w:val="00461A89"/>
    <w:rsid w:val="00461D10"/>
    <w:rsid w:val="00470307"/>
    <w:rsid w:val="00470CBB"/>
    <w:rsid w:val="00470FDE"/>
    <w:rsid w:val="004715CB"/>
    <w:rsid w:val="00474A0D"/>
    <w:rsid w:val="00476313"/>
    <w:rsid w:val="00480A8F"/>
    <w:rsid w:val="004812F9"/>
    <w:rsid w:val="004838B8"/>
    <w:rsid w:val="004846A0"/>
    <w:rsid w:val="004847EE"/>
    <w:rsid w:val="00484FC2"/>
    <w:rsid w:val="004851DC"/>
    <w:rsid w:val="00485A67"/>
    <w:rsid w:val="00487412"/>
    <w:rsid w:val="00496F9A"/>
    <w:rsid w:val="00497E83"/>
    <w:rsid w:val="004A00D2"/>
    <w:rsid w:val="004A1245"/>
    <w:rsid w:val="004A4EE6"/>
    <w:rsid w:val="004A50AF"/>
    <w:rsid w:val="004A7CCF"/>
    <w:rsid w:val="004B02B1"/>
    <w:rsid w:val="004B1FC2"/>
    <w:rsid w:val="004B208E"/>
    <w:rsid w:val="004B2C5C"/>
    <w:rsid w:val="004B4455"/>
    <w:rsid w:val="004C32D5"/>
    <w:rsid w:val="004C36D5"/>
    <w:rsid w:val="004D16BC"/>
    <w:rsid w:val="004D1FC5"/>
    <w:rsid w:val="004D41FA"/>
    <w:rsid w:val="004E114A"/>
    <w:rsid w:val="004E2671"/>
    <w:rsid w:val="004E7BAD"/>
    <w:rsid w:val="004F464F"/>
    <w:rsid w:val="004F4CBC"/>
    <w:rsid w:val="004F6131"/>
    <w:rsid w:val="005002B8"/>
    <w:rsid w:val="00503D5D"/>
    <w:rsid w:val="005100CF"/>
    <w:rsid w:val="005133BD"/>
    <w:rsid w:val="00513E11"/>
    <w:rsid w:val="00514507"/>
    <w:rsid w:val="00514F8D"/>
    <w:rsid w:val="0051575D"/>
    <w:rsid w:val="00520CBF"/>
    <w:rsid w:val="00524926"/>
    <w:rsid w:val="005317E1"/>
    <w:rsid w:val="0053225A"/>
    <w:rsid w:val="00532CCE"/>
    <w:rsid w:val="00534E30"/>
    <w:rsid w:val="00535597"/>
    <w:rsid w:val="0053786B"/>
    <w:rsid w:val="00540A97"/>
    <w:rsid w:val="0054223B"/>
    <w:rsid w:val="00543E03"/>
    <w:rsid w:val="005474A2"/>
    <w:rsid w:val="0055018E"/>
    <w:rsid w:val="00550405"/>
    <w:rsid w:val="00550B35"/>
    <w:rsid w:val="00551C2F"/>
    <w:rsid w:val="00554919"/>
    <w:rsid w:val="00557AE1"/>
    <w:rsid w:val="005619CC"/>
    <w:rsid w:val="00562BCE"/>
    <w:rsid w:val="00562F63"/>
    <w:rsid w:val="00563549"/>
    <w:rsid w:val="005643EF"/>
    <w:rsid w:val="00564BE4"/>
    <w:rsid w:val="00570447"/>
    <w:rsid w:val="00570BD4"/>
    <w:rsid w:val="00570F4D"/>
    <w:rsid w:val="00575EFC"/>
    <w:rsid w:val="005775D1"/>
    <w:rsid w:val="00577632"/>
    <w:rsid w:val="00582CB3"/>
    <w:rsid w:val="005833F9"/>
    <w:rsid w:val="00585484"/>
    <w:rsid w:val="00585D7D"/>
    <w:rsid w:val="005900A9"/>
    <w:rsid w:val="00596B71"/>
    <w:rsid w:val="0059721B"/>
    <w:rsid w:val="005A03A3"/>
    <w:rsid w:val="005A3415"/>
    <w:rsid w:val="005B1706"/>
    <w:rsid w:val="005B2EC0"/>
    <w:rsid w:val="005B3E57"/>
    <w:rsid w:val="005C4C06"/>
    <w:rsid w:val="005C5448"/>
    <w:rsid w:val="005C64D1"/>
    <w:rsid w:val="005C6D94"/>
    <w:rsid w:val="005D0B25"/>
    <w:rsid w:val="005D1874"/>
    <w:rsid w:val="005D3EDE"/>
    <w:rsid w:val="005D4608"/>
    <w:rsid w:val="005D463E"/>
    <w:rsid w:val="005D4913"/>
    <w:rsid w:val="005D4D6D"/>
    <w:rsid w:val="005D5BF5"/>
    <w:rsid w:val="005E1AF0"/>
    <w:rsid w:val="005E1ECE"/>
    <w:rsid w:val="005E2F34"/>
    <w:rsid w:val="005E30F8"/>
    <w:rsid w:val="005E3821"/>
    <w:rsid w:val="005E3CE3"/>
    <w:rsid w:val="005E4BC9"/>
    <w:rsid w:val="005E50C1"/>
    <w:rsid w:val="005E5369"/>
    <w:rsid w:val="005E6C6D"/>
    <w:rsid w:val="005E7E68"/>
    <w:rsid w:val="005F1492"/>
    <w:rsid w:val="005F1936"/>
    <w:rsid w:val="005F3324"/>
    <w:rsid w:val="005F343C"/>
    <w:rsid w:val="005F40CF"/>
    <w:rsid w:val="00603A06"/>
    <w:rsid w:val="00605103"/>
    <w:rsid w:val="006057F0"/>
    <w:rsid w:val="006112E8"/>
    <w:rsid w:val="00611A6C"/>
    <w:rsid w:val="00611E5C"/>
    <w:rsid w:val="0061413C"/>
    <w:rsid w:val="006155FF"/>
    <w:rsid w:val="006219CA"/>
    <w:rsid w:val="006233E6"/>
    <w:rsid w:val="00631912"/>
    <w:rsid w:val="0063313B"/>
    <w:rsid w:val="00634579"/>
    <w:rsid w:val="0063568B"/>
    <w:rsid w:val="0064088B"/>
    <w:rsid w:val="00644195"/>
    <w:rsid w:val="00645E10"/>
    <w:rsid w:val="006463BE"/>
    <w:rsid w:val="006464FC"/>
    <w:rsid w:val="00650755"/>
    <w:rsid w:val="006508FC"/>
    <w:rsid w:val="006534F4"/>
    <w:rsid w:val="0065449E"/>
    <w:rsid w:val="00654AA4"/>
    <w:rsid w:val="00655AD8"/>
    <w:rsid w:val="0065696D"/>
    <w:rsid w:val="00664C3A"/>
    <w:rsid w:val="0066600B"/>
    <w:rsid w:val="00670080"/>
    <w:rsid w:val="00672AB4"/>
    <w:rsid w:val="00674057"/>
    <w:rsid w:val="0067574B"/>
    <w:rsid w:val="00677824"/>
    <w:rsid w:val="00683DA9"/>
    <w:rsid w:val="00684AED"/>
    <w:rsid w:val="006872A0"/>
    <w:rsid w:val="00697111"/>
    <w:rsid w:val="006975D0"/>
    <w:rsid w:val="006A0177"/>
    <w:rsid w:val="006A23FB"/>
    <w:rsid w:val="006A2940"/>
    <w:rsid w:val="006A309D"/>
    <w:rsid w:val="006A4322"/>
    <w:rsid w:val="006A4D2D"/>
    <w:rsid w:val="006A5C93"/>
    <w:rsid w:val="006A6E8B"/>
    <w:rsid w:val="006A7ED5"/>
    <w:rsid w:val="006B0023"/>
    <w:rsid w:val="006B2B76"/>
    <w:rsid w:val="006B2FA6"/>
    <w:rsid w:val="006B3998"/>
    <w:rsid w:val="006B39EA"/>
    <w:rsid w:val="006B4891"/>
    <w:rsid w:val="006C1CB7"/>
    <w:rsid w:val="006C36B4"/>
    <w:rsid w:val="006C5FE1"/>
    <w:rsid w:val="006C60B4"/>
    <w:rsid w:val="006C7763"/>
    <w:rsid w:val="006D2540"/>
    <w:rsid w:val="006D2AF3"/>
    <w:rsid w:val="006D6D63"/>
    <w:rsid w:val="006D7C10"/>
    <w:rsid w:val="006E20CD"/>
    <w:rsid w:val="006E2A92"/>
    <w:rsid w:val="006E457C"/>
    <w:rsid w:val="006E6AE3"/>
    <w:rsid w:val="006F0033"/>
    <w:rsid w:val="006F1099"/>
    <w:rsid w:val="006F366E"/>
    <w:rsid w:val="006F411E"/>
    <w:rsid w:val="00700AB3"/>
    <w:rsid w:val="0070231A"/>
    <w:rsid w:val="00702A12"/>
    <w:rsid w:val="007057A8"/>
    <w:rsid w:val="007059F1"/>
    <w:rsid w:val="00705A8D"/>
    <w:rsid w:val="00707CD4"/>
    <w:rsid w:val="0071388D"/>
    <w:rsid w:val="00715C75"/>
    <w:rsid w:val="00715C87"/>
    <w:rsid w:val="007175A1"/>
    <w:rsid w:val="00721489"/>
    <w:rsid w:val="00722040"/>
    <w:rsid w:val="0072536A"/>
    <w:rsid w:val="007261FE"/>
    <w:rsid w:val="00726DA1"/>
    <w:rsid w:val="00732C7F"/>
    <w:rsid w:val="0073435E"/>
    <w:rsid w:val="00735B10"/>
    <w:rsid w:val="007364D2"/>
    <w:rsid w:val="00736528"/>
    <w:rsid w:val="0074060C"/>
    <w:rsid w:val="00740BDB"/>
    <w:rsid w:val="00740CD8"/>
    <w:rsid w:val="00743615"/>
    <w:rsid w:val="00743A8B"/>
    <w:rsid w:val="0074739C"/>
    <w:rsid w:val="00751AB4"/>
    <w:rsid w:val="00752322"/>
    <w:rsid w:val="00753CEE"/>
    <w:rsid w:val="0075587E"/>
    <w:rsid w:val="00757623"/>
    <w:rsid w:val="00761C44"/>
    <w:rsid w:val="007669A5"/>
    <w:rsid w:val="00767818"/>
    <w:rsid w:val="00770349"/>
    <w:rsid w:val="00773DCF"/>
    <w:rsid w:val="00775C63"/>
    <w:rsid w:val="007767D9"/>
    <w:rsid w:val="00777688"/>
    <w:rsid w:val="007817ED"/>
    <w:rsid w:val="00782487"/>
    <w:rsid w:val="00783622"/>
    <w:rsid w:val="007862B1"/>
    <w:rsid w:val="007868C6"/>
    <w:rsid w:val="0078769A"/>
    <w:rsid w:val="0078791A"/>
    <w:rsid w:val="0079142B"/>
    <w:rsid w:val="00791492"/>
    <w:rsid w:val="00791E49"/>
    <w:rsid w:val="007974FF"/>
    <w:rsid w:val="00797D8F"/>
    <w:rsid w:val="007A2770"/>
    <w:rsid w:val="007A4284"/>
    <w:rsid w:val="007A4D7E"/>
    <w:rsid w:val="007A53BD"/>
    <w:rsid w:val="007B259C"/>
    <w:rsid w:val="007B3E92"/>
    <w:rsid w:val="007B41DC"/>
    <w:rsid w:val="007B7B83"/>
    <w:rsid w:val="007C615F"/>
    <w:rsid w:val="007D0231"/>
    <w:rsid w:val="007D10BE"/>
    <w:rsid w:val="007D132C"/>
    <w:rsid w:val="007D2FE9"/>
    <w:rsid w:val="007D3EA5"/>
    <w:rsid w:val="007D7B44"/>
    <w:rsid w:val="007E0575"/>
    <w:rsid w:val="007E1DFF"/>
    <w:rsid w:val="007E2B7B"/>
    <w:rsid w:val="007E6625"/>
    <w:rsid w:val="007E710A"/>
    <w:rsid w:val="007F088F"/>
    <w:rsid w:val="007F523C"/>
    <w:rsid w:val="007F6345"/>
    <w:rsid w:val="007F650D"/>
    <w:rsid w:val="00801BC9"/>
    <w:rsid w:val="00803DB1"/>
    <w:rsid w:val="00804D5D"/>
    <w:rsid w:val="00804FD6"/>
    <w:rsid w:val="008105F9"/>
    <w:rsid w:val="00813EB0"/>
    <w:rsid w:val="00813F70"/>
    <w:rsid w:val="00814118"/>
    <w:rsid w:val="00815DD8"/>
    <w:rsid w:val="00820D23"/>
    <w:rsid w:val="008255B5"/>
    <w:rsid w:val="00826408"/>
    <w:rsid w:val="008273A5"/>
    <w:rsid w:val="00832CDC"/>
    <w:rsid w:val="00834FB4"/>
    <w:rsid w:val="00835C17"/>
    <w:rsid w:val="00835D2E"/>
    <w:rsid w:val="00841308"/>
    <w:rsid w:val="00844FAC"/>
    <w:rsid w:val="008468BD"/>
    <w:rsid w:val="00850C43"/>
    <w:rsid w:val="008534CB"/>
    <w:rsid w:val="00853BCB"/>
    <w:rsid w:val="00855CA0"/>
    <w:rsid w:val="008639C5"/>
    <w:rsid w:val="0087228C"/>
    <w:rsid w:val="008740FD"/>
    <w:rsid w:val="00874A36"/>
    <w:rsid w:val="00876A7E"/>
    <w:rsid w:val="008833E4"/>
    <w:rsid w:val="00891652"/>
    <w:rsid w:val="00896B09"/>
    <w:rsid w:val="00897C57"/>
    <w:rsid w:val="008A2914"/>
    <w:rsid w:val="008A58A7"/>
    <w:rsid w:val="008A6F50"/>
    <w:rsid w:val="008B283C"/>
    <w:rsid w:val="008B41D4"/>
    <w:rsid w:val="008B46A3"/>
    <w:rsid w:val="008B4FB7"/>
    <w:rsid w:val="008C134E"/>
    <w:rsid w:val="008C1F4E"/>
    <w:rsid w:val="008C28C2"/>
    <w:rsid w:val="008C427D"/>
    <w:rsid w:val="008C6A55"/>
    <w:rsid w:val="008C7543"/>
    <w:rsid w:val="008D12C8"/>
    <w:rsid w:val="008D17F7"/>
    <w:rsid w:val="008D5129"/>
    <w:rsid w:val="008D53F0"/>
    <w:rsid w:val="008D5DD5"/>
    <w:rsid w:val="008E3680"/>
    <w:rsid w:val="008E4361"/>
    <w:rsid w:val="008E5DC8"/>
    <w:rsid w:val="008E63CD"/>
    <w:rsid w:val="008F604C"/>
    <w:rsid w:val="008F6579"/>
    <w:rsid w:val="0090031E"/>
    <w:rsid w:val="00911BAD"/>
    <w:rsid w:val="00911CCA"/>
    <w:rsid w:val="0091284B"/>
    <w:rsid w:val="00913B3A"/>
    <w:rsid w:val="00915BE5"/>
    <w:rsid w:val="00926336"/>
    <w:rsid w:val="00931A55"/>
    <w:rsid w:val="00941136"/>
    <w:rsid w:val="00941149"/>
    <w:rsid w:val="00942881"/>
    <w:rsid w:val="0094527A"/>
    <w:rsid w:val="00947DA7"/>
    <w:rsid w:val="00951DFA"/>
    <w:rsid w:val="00952494"/>
    <w:rsid w:val="00963233"/>
    <w:rsid w:val="00964AFF"/>
    <w:rsid w:val="009668ED"/>
    <w:rsid w:val="00971292"/>
    <w:rsid w:val="009746ED"/>
    <w:rsid w:val="00975BA0"/>
    <w:rsid w:val="00981B10"/>
    <w:rsid w:val="0098291C"/>
    <w:rsid w:val="00990091"/>
    <w:rsid w:val="00996181"/>
    <w:rsid w:val="009A0785"/>
    <w:rsid w:val="009A2E0F"/>
    <w:rsid w:val="009A5CB4"/>
    <w:rsid w:val="009B56E0"/>
    <w:rsid w:val="009B6B92"/>
    <w:rsid w:val="009B70ED"/>
    <w:rsid w:val="009B78F4"/>
    <w:rsid w:val="009C0C96"/>
    <w:rsid w:val="009C26D1"/>
    <w:rsid w:val="009C2EC7"/>
    <w:rsid w:val="009C4080"/>
    <w:rsid w:val="009C5328"/>
    <w:rsid w:val="009D27F7"/>
    <w:rsid w:val="009E1C53"/>
    <w:rsid w:val="009E2D5B"/>
    <w:rsid w:val="009E420E"/>
    <w:rsid w:val="009E5617"/>
    <w:rsid w:val="009E7C02"/>
    <w:rsid w:val="009F134F"/>
    <w:rsid w:val="009F4120"/>
    <w:rsid w:val="009F41D0"/>
    <w:rsid w:val="00A00F86"/>
    <w:rsid w:val="00A0222D"/>
    <w:rsid w:val="00A03235"/>
    <w:rsid w:val="00A1172D"/>
    <w:rsid w:val="00A11A87"/>
    <w:rsid w:val="00A14472"/>
    <w:rsid w:val="00A156A2"/>
    <w:rsid w:val="00A206F5"/>
    <w:rsid w:val="00A20E6D"/>
    <w:rsid w:val="00A21B8C"/>
    <w:rsid w:val="00A22321"/>
    <w:rsid w:val="00A24662"/>
    <w:rsid w:val="00A274C0"/>
    <w:rsid w:val="00A30975"/>
    <w:rsid w:val="00A313BD"/>
    <w:rsid w:val="00A31F8F"/>
    <w:rsid w:val="00A32C49"/>
    <w:rsid w:val="00A335C8"/>
    <w:rsid w:val="00A34C09"/>
    <w:rsid w:val="00A350AC"/>
    <w:rsid w:val="00A35E8D"/>
    <w:rsid w:val="00A41368"/>
    <w:rsid w:val="00A42639"/>
    <w:rsid w:val="00A42F76"/>
    <w:rsid w:val="00A42F89"/>
    <w:rsid w:val="00A43FF1"/>
    <w:rsid w:val="00A450E7"/>
    <w:rsid w:val="00A4596D"/>
    <w:rsid w:val="00A53A3A"/>
    <w:rsid w:val="00A56C5A"/>
    <w:rsid w:val="00A6028A"/>
    <w:rsid w:val="00A64A93"/>
    <w:rsid w:val="00A656E7"/>
    <w:rsid w:val="00A662F9"/>
    <w:rsid w:val="00A70F19"/>
    <w:rsid w:val="00A76636"/>
    <w:rsid w:val="00A815A2"/>
    <w:rsid w:val="00A91DCF"/>
    <w:rsid w:val="00A92A6B"/>
    <w:rsid w:val="00A93A2C"/>
    <w:rsid w:val="00A95961"/>
    <w:rsid w:val="00AA14AE"/>
    <w:rsid w:val="00AA1C83"/>
    <w:rsid w:val="00AA2A9B"/>
    <w:rsid w:val="00AA56E8"/>
    <w:rsid w:val="00AA65C9"/>
    <w:rsid w:val="00AA6ECF"/>
    <w:rsid w:val="00AB296B"/>
    <w:rsid w:val="00AB2C3C"/>
    <w:rsid w:val="00AB2D97"/>
    <w:rsid w:val="00AB3150"/>
    <w:rsid w:val="00AB3F61"/>
    <w:rsid w:val="00AB6249"/>
    <w:rsid w:val="00AB6C1A"/>
    <w:rsid w:val="00AB702B"/>
    <w:rsid w:val="00AB79F7"/>
    <w:rsid w:val="00AB7E51"/>
    <w:rsid w:val="00AC335E"/>
    <w:rsid w:val="00AC3C5F"/>
    <w:rsid w:val="00AC3CCB"/>
    <w:rsid w:val="00AD49DF"/>
    <w:rsid w:val="00AD5F08"/>
    <w:rsid w:val="00AD64EC"/>
    <w:rsid w:val="00AE10D1"/>
    <w:rsid w:val="00AE20BC"/>
    <w:rsid w:val="00AE30D2"/>
    <w:rsid w:val="00AE3A05"/>
    <w:rsid w:val="00AE7C95"/>
    <w:rsid w:val="00AF0EBF"/>
    <w:rsid w:val="00AF118D"/>
    <w:rsid w:val="00AF1FCD"/>
    <w:rsid w:val="00AF31EE"/>
    <w:rsid w:val="00AF4DA8"/>
    <w:rsid w:val="00AF4EFE"/>
    <w:rsid w:val="00AF563E"/>
    <w:rsid w:val="00AF681E"/>
    <w:rsid w:val="00AF6B96"/>
    <w:rsid w:val="00B01ABA"/>
    <w:rsid w:val="00B0790A"/>
    <w:rsid w:val="00B10727"/>
    <w:rsid w:val="00B1215A"/>
    <w:rsid w:val="00B1300A"/>
    <w:rsid w:val="00B14463"/>
    <w:rsid w:val="00B1476F"/>
    <w:rsid w:val="00B14F86"/>
    <w:rsid w:val="00B153F2"/>
    <w:rsid w:val="00B1641E"/>
    <w:rsid w:val="00B17AD6"/>
    <w:rsid w:val="00B22281"/>
    <w:rsid w:val="00B269DB"/>
    <w:rsid w:val="00B26EB7"/>
    <w:rsid w:val="00B26ED0"/>
    <w:rsid w:val="00B32A8F"/>
    <w:rsid w:val="00B35FEA"/>
    <w:rsid w:val="00B44D30"/>
    <w:rsid w:val="00B45931"/>
    <w:rsid w:val="00B5195C"/>
    <w:rsid w:val="00B54E5D"/>
    <w:rsid w:val="00B62EF5"/>
    <w:rsid w:val="00B62F2C"/>
    <w:rsid w:val="00B646A1"/>
    <w:rsid w:val="00B72407"/>
    <w:rsid w:val="00B73C4E"/>
    <w:rsid w:val="00B73E90"/>
    <w:rsid w:val="00B77E3B"/>
    <w:rsid w:val="00B821E6"/>
    <w:rsid w:val="00B866A9"/>
    <w:rsid w:val="00B90F3F"/>
    <w:rsid w:val="00B923D5"/>
    <w:rsid w:val="00B972BF"/>
    <w:rsid w:val="00B975C1"/>
    <w:rsid w:val="00B97B0A"/>
    <w:rsid w:val="00BA122D"/>
    <w:rsid w:val="00BA1A89"/>
    <w:rsid w:val="00BA2242"/>
    <w:rsid w:val="00BA25D4"/>
    <w:rsid w:val="00BA3B6E"/>
    <w:rsid w:val="00BA5183"/>
    <w:rsid w:val="00BB081A"/>
    <w:rsid w:val="00BB1DF7"/>
    <w:rsid w:val="00BB2730"/>
    <w:rsid w:val="00BB5667"/>
    <w:rsid w:val="00BB7CE2"/>
    <w:rsid w:val="00BD01DA"/>
    <w:rsid w:val="00BD234B"/>
    <w:rsid w:val="00BD6248"/>
    <w:rsid w:val="00BD6CDA"/>
    <w:rsid w:val="00BE29CD"/>
    <w:rsid w:val="00BE2F5B"/>
    <w:rsid w:val="00BE4E9F"/>
    <w:rsid w:val="00BE5BD1"/>
    <w:rsid w:val="00BE6E14"/>
    <w:rsid w:val="00BF50BD"/>
    <w:rsid w:val="00BF6B8D"/>
    <w:rsid w:val="00C0043A"/>
    <w:rsid w:val="00C038EE"/>
    <w:rsid w:val="00C07E48"/>
    <w:rsid w:val="00C123FD"/>
    <w:rsid w:val="00C134DA"/>
    <w:rsid w:val="00C16E8B"/>
    <w:rsid w:val="00C24D0A"/>
    <w:rsid w:val="00C24E7E"/>
    <w:rsid w:val="00C26F01"/>
    <w:rsid w:val="00C27755"/>
    <w:rsid w:val="00C31C62"/>
    <w:rsid w:val="00C32D7F"/>
    <w:rsid w:val="00C3320D"/>
    <w:rsid w:val="00C344BD"/>
    <w:rsid w:val="00C353B0"/>
    <w:rsid w:val="00C376B3"/>
    <w:rsid w:val="00C411A0"/>
    <w:rsid w:val="00C44D8A"/>
    <w:rsid w:val="00C55520"/>
    <w:rsid w:val="00C56D20"/>
    <w:rsid w:val="00C57F89"/>
    <w:rsid w:val="00C60F7F"/>
    <w:rsid w:val="00C63E68"/>
    <w:rsid w:val="00C64003"/>
    <w:rsid w:val="00C64E19"/>
    <w:rsid w:val="00C65047"/>
    <w:rsid w:val="00C66458"/>
    <w:rsid w:val="00C706DB"/>
    <w:rsid w:val="00C71039"/>
    <w:rsid w:val="00C739E0"/>
    <w:rsid w:val="00C75E91"/>
    <w:rsid w:val="00C762D9"/>
    <w:rsid w:val="00C77D5D"/>
    <w:rsid w:val="00C77E42"/>
    <w:rsid w:val="00C8273C"/>
    <w:rsid w:val="00C837C4"/>
    <w:rsid w:val="00C84D4F"/>
    <w:rsid w:val="00C84E7A"/>
    <w:rsid w:val="00C85059"/>
    <w:rsid w:val="00C851B5"/>
    <w:rsid w:val="00C9307E"/>
    <w:rsid w:val="00C933E4"/>
    <w:rsid w:val="00C93448"/>
    <w:rsid w:val="00C93790"/>
    <w:rsid w:val="00C97329"/>
    <w:rsid w:val="00CA0E65"/>
    <w:rsid w:val="00CA10A8"/>
    <w:rsid w:val="00CA489A"/>
    <w:rsid w:val="00CA585E"/>
    <w:rsid w:val="00CA7DC2"/>
    <w:rsid w:val="00CA7F4B"/>
    <w:rsid w:val="00CB0E1B"/>
    <w:rsid w:val="00CB15BF"/>
    <w:rsid w:val="00CB23C5"/>
    <w:rsid w:val="00CB704C"/>
    <w:rsid w:val="00CC3320"/>
    <w:rsid w:val="00CC38DA"/>
    <w:rsid w:val="00CC6072"/>
    <w:rsid w:val="00CC6248"/>
    <w:rsid w:val="00CD25F1"/>
    <w:rsid w:val="00CD765A"/>
    <w:rsid w:val="00CE29F2"/>
    <w:rsid w:val="00CE5CC0"/>
    <w:rsid w:val="00CE671B"/>
    <w:rsid w:val="00CE6FA0"/>
    <w:rsid w:val="00CF1E33"/>
    <w:rsid w:val="00CF3467"/>
    <w:rsid w:val="00CF46CB"/>
    <w:rsid w:val="00CF5BAA"/>
    <w:rsid w:val="00CF6D3C"/>
    <w:rsid w:val="00CF7A04"/>
    <w:rsid w:val="00D03AEC"/>
    <w:rsid w:val="00D05320"/>
    <w:rsid w:val="00D06BAF"/>
    <w:rsid w:val="00D156A6"/>
    <w:rsid w:val="00D156EA"/>
    <w:rsid w:val="00D16449"/>
    <w:rsid w:val="00D1795F"/>
    <w:rsid w:val="00D2266F"/>
    <w:rsid w:val="00D22D25"/>
    <w:rsid w:val="00D22DF3"/>
    <w:rsid w:val="00D23E6E"/>
    <w:rsid w:val="00D25042"/>
    <w:rsid w:val="00D25536"/>
    <w:rsid w:val="00D27A00"/>
    <w:rsid w:val="00D307F1"/>
    <w:rsid w:val="00D30EA0"/>
    <w:rsid w:val="00D32B45"/>
    <w:rsid w:val="00D330BE"/>
    <w:rsid w:val="00D371BB"/>
    <w:rsid w:val="00D407F1"/>
    <w:rsid w:val="00D423FA"/>
    <w:rsid w:val="00D43153"/>
    <w:rsid w:val="00D4573D"/>
    <w:rsid w:val="00D52080"/>
    <w:rsid w:val="00D53920"/>
    <w:rsid w:val="00D5784A"/>
    <w:rsid w:val="00D57BC5"/>
    <w:rsid w:val="00D63DCB"/>
    <w:rsid w:val="00D64061"/>
    <w:rsid w:val="00D653CD"/>
    <w:rsid w:val="00D65706"/>
    <w:rsid w:val="00D71253"/>
    <w:rsid w:val="00D71BC9"/>
    <w:rsid w:val="00D72188"/>
    <w:rsid w:val="00D75087"/>
    <w:rsid w:val="00D75ADE"/>
    <w:rsid w:val="00D80802"/>
    <w:rsid w:val="00D81CA5"/>
    <w:rsid w:val="00D821BC"/>
    <w:rsid w:val="00D83F66"/>
    <w:rsid w:val="00D84FAF"/>
    <w:rsid w:val="00D85622"/>
    <w:rsid w:val="00D85BEE"/>
    <w:rsid w:val="00D863BF"/>
    <w:rsid w:val="00D864A6"/>
    <w:rsid w:val="00D90B6E"/>
    <w:rsid w:val="00D90C81"/>
    <w:rsid w:val="00D94477"/>
    <w:rsid w:val="00D95CBD"/>
    <w:rsid w:val="00DA092B"/>
    <w:rsid w:val="00DA2B36"/>
    <w:rsid w:val="00DA2CE6"/>
    <w:rsid w:val="00DA4D16"/>
    <w:rsid w:val="00DA50EC"/>
    <w:rsid w:val="00DA5419"/>
    <w:rsid w:val="00DA5ADC"/>
    <w:rsid w:val="00DB00E6"/>
    <w:rsid w:val="00DB2B42"/>
    <w:rsid w:val="00DB7054"/>
    <w:rsid w:val="00DB7A4E"/>
    <w:rsid w:val="00DC004C"/>
    <w:rsid w:val="00DC12F6"/>
    <w:rsid w:val="00DC239F"/>
    <w:rsid w:val="00DC3265"/>
    <w:rsid w:val="00DC5800"/>
    <w:rsid w:val="00DC6039"/>
    <w:rsid w:val="00DC7C1B"/>
    <w:rsid w:val="00DD26FC"/>
    <w:rsid w:val="00DD3FF6"/>
    <w:rsid w:val="00DD4887"/>
    <w:rsid w:val="00DE0786"/>
    <w:rsid w:val="00DE1BCB"/>
    <w:rsid w:val="00DE2C1D"/>
    <w:rsid w:val="00DE2FBA"/>
    <w:rsid w:val="00DE3379"/>
    <w:rsid w:val="00DF19DE"/>
    <w:rsid w:val="00DF2DFC"/>
    <w:rsid w:val="00DF33E3"/>
    <w:rsid w:val="00DF422E"/>
    <w:rsid w:val="00DF4F55"/>
    <w:rsid w:val="00DF5F2E"/>
    <w:rsid w:val="00DF613B"/>
    <w:rsid w:val="00E00832"/>
    <w:rsid w:val="00E026B1"/>
    <w:rsid w:val="00E03068"/>
    <w:rsid w:val="00E03CAF"/>
    <w:rsid w:val="00E04F22"/>
    <w:rsid w:val="00E05F27"/>
    <w:rsid w:val="00E06AA0"/>
    <w:rsid w:val="00E074C4"/>
    <w:rsid w:val="00E145C8"/>
    <w:rsid w:val="00E1555F"/>
    <w:rsid w:val="00E16633"/>
    <w:rsid w:val="00E17843"/>
    <w:rsid w:val="00E212E6"/>
    <w:rsid w:val="00E2212A"/>
    <w:rsid w:val="00E25947"/>
    <w:rsid w:val="00E3045F"/>
    <w:rsid w:val="00E30FBA"/>
    <w:rsid w:val="00E3102A"/>
    <w:rsid w:val="00E31C4F"/>
    <w:rsid w:val="00E325C4"/>
    <w:rsid w:val="00E32E15"/>
    <w:rsid w:val="00E3664E"/>
    <w:rsid w:val="00E36CA4"/>
    <w:rsid w:val="00E3707F"/>
    <w:rsid w:val="00E373B2"/>
    <w:rsid w:val="00E4335E"/>
    <w:rsid w:val="00E43426"/>
    <w:rsid w:val="00E45670"/>
    <w:rsid w:val="00E46352"/>
    <w:rsid w:val="00E46CD4"/>
    <w:rsid w:val="00E47101"/>
    <w:rsid w:val="00E51077"/>
    <w:rsid w:val="00E5186F"/>
    <w:rsid w:val="00E537B5"/>
    <w:rsid w:val="00E5395A"/>
    <w:rsid w:val="00E53F7F"/>
    <w:rsid w:val="00E56226"/>
    <w:rsid w:val="00E60561"/>
    <w:rsid w:val="00E62939"/>
    <w:rsid w:val="00E658F9"/>
    <w:rsid w:val="00E71540"/>
    <w:rsid w:val="00E730AF"/>
    <w:rsid w:val="00E73C48"/>
    <w:rsid w:val="00E7469B"/>
    <w:rsid w:val="00E876AF"/>
    <w:rsid w:val="00E87A3D"/>
    <w:rsid w:val="00E91712"/>
    <w:rsid w:val="00EA1714"/>
    <w:rsid w:val="00EA34DD"/>
    <w:rsid w:val="00EA4E67"/>
    <w:rsid w:val="00EA5306"/>
    <w:rsid w:val="00EA5952"/>
    <w:rsid w:val="00EA7EAA"/>
    <w:rsid w:val="00EB26C8"/>
    <w:rsid w:val="00EB2C99"/>
    <w:rsid w:val="00EC18EC"/>
    <w:rsid w:val="00EC1E40"/>
    <w:rsid w:val="00EC22C6"/>
    <w:rsid w:val="00EC5F47"/>
    <w:rsid w:val="00EC673E"/>
    <w:rsid w:val="00ED04FE"/>
    <w:rsid w:val="00ED1291"/>
    <w:rsid w:val="00ED588D"/>
    <w:rsid w:val="00ED768E"/>
    <w:rsid w:val="00EE00CB"/>
    <w:rsid w:val="00EE1486"/>
    <w:rsid w:val="00EE151A"/>
    <w:rsid w:val="00EE291D"/>
    <w:rsid w:val="00EE2CCB"/>
    <w:rsid w:val="00EE4887"/>
    <w:rsid w:val="00EE51DB"/>
    <w:rsid w:val="00EE5723"/>
    <w:rsid w:val="00EE5C9B"/>
    <w:rsid w:val="00EF0841"/>
    <w:rsid w:val="00EF1706"/>
    <w:rsid w:val="00EF4868"/>
    <w:rsid w:val="00EF4EB6"/>
    <w:rsid w:val="00EF617A"/>
    <w:rsid w:val="00EF67BA"/>
    <w:rsid w:val="00F00968"/>
    <w:rsid w:val="00F04396"/>
    <w:rsid w:val="00F076AE"/>
    <w:rsid w:val="00F14236"/>
    <w:rsid w:val="00F15B14"/>
    <w:rsid w:val="00F15EDF"/>
    <w:rsid w:val="00F15F52"/>
    <w:rsid w:val="00F16F4F"/>
    <w:rsid w:val="00F17061"/>
    <w:rsid w:val="00F22B44"/>
    <w:rsid w:val="00F24652"/>
    <w:rsid w:val="00F24FA3"/>
    <w:rsid w:val="00F25B5A"/>
    <w:rsid w:val="00F26049"/>
    <w:rsid w:val="00F263A9"/>
    <w:rsid w:val="00F26807"/>
    <w:rsid w:val="00F32236"/>
    <w:rsid w:val="00F325CF"/>
    <w:rsid w:val="00F33845"/>
    <w:rsid w:val="00F35031"/>
    <w:rsid w:val="00F35C91"/>
    <w:rsid w:val="00F3602F"/>
    <w:rsid w:val="00F367AA"/>
    <w:rsid w:val="00F424A6"/>
    <w:rsid w:val="00F46EC6"/>
    <w:rsid w:val="00F47A41"/>
    <w:rsid w:val="00F543A3"/>
    <w:rsid w:val="00F62BE5"/>
    <w:rsid w:val="00F63CCD"/>
    <w:rsid w:val="00F67EA4"/>
    <w:rsid w:val="00F67F37"/>
    <w:rsid w:val="00F71EA6"/>
    <w:rsid w:val="00F73CDE"/>
    <w:rsid w:val="00F73D1C"/>
    <w:rsid w:val="00F74076"/>
    <w:rsid w:val="00F752A8"/>
    <w:rsid w:val="00F763A6"/>
    <w:rsid w:val="00F83255"/>
    <w:rsid w:val="00F86C32"/>
    <w:rsid w:val="00F87CD5"/>
    <w:rsid w:val="00F929DC"/>
    <w:rsid w:val="00F93F8A"/>
    <w:rsid w:val="00F9726F"/>
    <w:rsid w:val="00FA31A2"/>
    <w:rsid w:val="00FA4B5A"/>
    <w:rsid w:val="00FA5F5B"/>
    <w:rsid w:val="00FA6E05"/>
    <w:rsid w:val="00FA7336"/>
    <w:rsid w:val="00FB1787"/>
    <w:rsid w:val="00FB795E"/>
    <w:rsid w:val="00FC3DEB"/>
    <w:rsid w:val="00FC4B93"/>
    <w:rsid w:val="00FC58D2"/>
    <w:rsid w:val="00FC73B3"/>
    <w:rsid w:val="00FD0940"/>
    <w:rsid w:val="00FD1241"/>
    <w:rsid w:val="00FD3733"/>
    <w:rsid w:val="00FD37EA"/>
    <w:rsid w:val="00FD4254"/>
    <w:rsid w:val="00FD7B72"/>
    <w:rsid w:val="00FE24EA"/>
    <w:rsid w:val="00FE27FF"/>
    <w:rsid w:val="00FE285D"/>
    <w:rsid w:val="00FE2C63"/>
    <w:rsid w:val="00FE3877"/>
    <w:rsid w:val="00FE774C"/>
    <w:rsid w:val="00FF126D"/>
    <w:rsid w:val="00FF2549"/>
    <w:rsid w:val="00FF42A6"/>
    <w:rsid w:val="00FF442C"/>
    <w:rsid w:val="00FF5258"/>
    <w:rsid w:val="00FF6E78"/>
    <w:rsid w:val="00FF6F25"/>
    <w:rsid w:val="01BF5575"/>
    <w:rsid w:val="01D35F26"/>
    <w:rsid w:val="027D6BAF"/>
    <w:rsid w:val="03B41404"/>
    <w:rsid w:val="085B3697"/>
    <w:rsid w:val="08F864E7"/>
    <w:rsid w:val="097864D8"/>
    <w:rsid w:val="0C1817DD"/>
    <w:rsid w:val="0D3000CB"/>
    <w:rsid w:val="0E3177FA"/>
    <w:rsid w:val="0E9C3DCD"/>
    <w:rsid w:val="0EA13851"/>
    <w:rsid w:val="0F4900A6"/>
    <w:rsid w:val="0FC54758"/>
    <w:rsid w:val="118C3D6F"/>
    <w:rsid w:val="12B65558"/>
    <w:rsid w:val="12E71D71"/>
    <w:rsid w:val="13275681"/>
    <w:rsid w:val="14385F6E"/>
    <w:rsid w:val="17B36EA8"/>
    <w:rsid w:val="17F359AC"/>
    <w:rsid w:val="185B640F"/>
    <w:rsid w:val="18ED5113"/>
    <w:rsid w:val="1A9F1C68"/>
    <w:rsid w:val="1C45404C"/>
    <w:rsid w:val="1D9C4722"/>
    <w:rsid w:val="21870CD9"/>
    <w:rsid w:val="21B8784C"/>
    <w:rsid w:val="22837AA1"/>
    <w:rsid w:val="22A342CA"/>
    <w:rsid w:val="24FB4DEB"/>
    <w:rsid w:val="25020641"/>
    <w:rsid w:val="2668620B"/>
    <w:rsid w:val="28293476"/>
    <w:rsid w:val="282F0A40"/>
    <w:rsid w:val="299466BB"/>
    <w:rsid w:val="2BCB067A"/>
    <w:rsid w:val="2CB17F37"/>
    <w:rsid w:val="2E4C14FC"/>
    <w:rsid w:val="2F6E1B78"/>
    <w:rsid w:val="31584683"/>
    <w:rsid w:val="33183717"/>
    <w:rsid w:val="33471036"/>
    <w:rsid w:val="3362463B"/>
    <w:rsid w:val="341D3112"/>
    <w:rsid w:val="363B44C3"/>
    <w:rsid w:val="36A75FFC"/>
    <w:rsid w:val="3783585B"/>
    <w:rsid w:val="39012DE7"/>
    <w:rsid w:val="3A9C3BC4"/>
    <w:rsid w:val="3B3C3341"/>
    <w:rsid w:val="3B9E7BCA"/>
    <w:rsid w:val="3DAF0498"/>
    <w:rsid w:val="3E4B64B1"/>
    <w:rsid w:val="3FAD1BE1"/>
    <w:rsid w:val="42E70739"/>
    <w:rsid w:val="45412B82"/>
    <w:rsid w:val="455134B3"/>
    <w:rsid w:val="46180CD1"/>
    <w:rsid w:val="47021411"/>
    <w:rsid w:val="48EF45ED"/>
    <w:rsid w:val="49CD79B5"/>
    <w:rsid w:val="4A3706E2"/>
    <w:rsid w:val="4A4A2ACF"/>
    <w:rsid w:val="4B5C51AF"/>
    <w:rsid w:val="4C660364"/>
    <w:rsid w:val="4CAE1754"/>
    <w:rsid w:val="4E6C4C29"/>
    <w:rsid w:val="53CB1124"/>
    <w:rsid w:val="55960D7C"/>
    <w:rsid w:val="55B526BF"/>
    <w:rsid w:val="564B794F"/>
    <w:rsid w:val="56B276E9"/>
    <w:rsid w:val="580519AA"/>
    <w:rsid w:val="58137CAD"/>
    <w:rsid w:val="58EA0794"/>
    <w:rsid w:val="5EC5554E"/>
    <w:rsid w:val="606A1EC9"/>
    <w:rsid w:val="61B14255"/>
    <w:rsid w:val="61E8587D"/>
    <w:rsid w:val="626B7BEA"/>
    <w:rsid w:val="62C36113"/>
    <w:rsid w:val="64D53890"/>
    <w:rsid w:val="660340CC"/>
    <w:rsid w:val="68871DF9"/>
    <w:rsid w:val="6E701C59"/>
    <w:rsid w:val="6F78376B"/>
    <w:rsid w:val="70C404A4"/>
    <w:rsid w:val="711F5551"/>
    <w:rsid w:val="733A4193"/>
    <w:rsid w:val="733F1092"/>
    <w:rsid w:val="75FE3FAC"/>
    <w:rsid w:val="76813909"/>
    <w:rsid w:val="784C5F11"/>
    <w:rsid w:val="7B7933DF"/>
    <w:rsid w:val="7B8B1CE4"/>
    <w:rsid w:val="7CC665AD"/>
    <w:rsid w:val="7CC677B6"/>
    <w:rsid w:val="7DA737B9"/>
    <w:rsid w:val="7E0E695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0"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jc w:val="both"/>
    </w:pPr>
    <w:rPr>
      <w:rFonts w:ascii="Calibri" w:hAnsi="Calibri" w:eastAsia="宋体" w:cs="Times New Roman"/>
      <w:kern w:val="2"/>
      <w:sz w:val="21"/>
      <w:szCs w:val="22"/>
      <w:lang w:val="en-US" w:eastAsia="zh-CN" w:bidi="ar-SA"/>
    </w:rPr>
  </w:style>
  <w:style w:type="paragraph" w:styleId="2">
    <w:name w:val="heading 1"/>
    <w:basedOn w:val="1"/>
    <w:next w:val="1"/>
    <w:link w:val="48"/>
    <w:qFormat/>
    <w:uiPriority w:val="0"/>
    <w:pPr>
      <w:keepNext/>
      <w:keepLines/>
      <w:spacing w:before="120" w:beforeLines="0" w:after="120" w:afterLines="0" w:line="360" w:lineRule="auto"/>
      <w:jc w:val="center"/>
      <w:outlineLvl w:val="0"/>
    </w:pPr>
    <w:rPr>
      <w:rFonts w:ascii="宋体"/>
      <w:b/>
      <w:bCs/>
      <w:kern w:val="44"/>
      <w:sz w:val="28"/>
      <w:szCs w:val="44"/>
    </w:rPr>
  </w:style>
  <w:style w:type="paragraph" w:styleId="3">
    <w:name w:val="heading 2"/>
    <w:basedOn w:val="1"/>
    <w:next w:val="1"/>
    <w:link w:val="49"/>
    <w:qFormat/>
    <w:uiPriority w:val="0"/>
    <w:pPr>
      <w:keepNext/>
      <w:keepLines/>
      <w:spacing w:before="120" w:beforeLines="0" w:after="120" w:afterLines="0" w:line="360" w:lineRule="auto"/>
      <w:outlineLvl w:val="1"/>
    </w:pPr>
    <w:rPr>
      <w:rFonts w:ascii="宋体" w:hAnsi="Cambria"/>
      <w:b/>
      <w:bCs/>
      <w:sz w:val="24"/>
      <w:szCs w:val="32"/>
    </w:rPr>
  </w:style>
  <w:style w:type="paragraph" w:styleId="4">
    <w:name w:val="heading 3"/>
    <w:basedOn w:val="1"/>
    <w:next w:val="1"/>
    <w:link w:val="50"/>
    <w:qFormat/>
    <w:uiPriority w:val="0"/>
    <w:pPr>
      <w:keepNext/>
      <w:keepLines/>
      <w:spacing w:before="156" w:beforeLines="50" w:after="156" w:afterLines="50" w:line="360" w:lineRule="auto"/>
      <w:outlineLvl w:val="2"/>
    </w:pPr>
    <w:rPr>
      <w:rFonts w:ascii="宋体"/>
      <w:b/>
      <w:bCs/>
      <w:szCs w:val="32"/>
    </w:rPr>
  </w:style>
  <w:style w:type="paragraph" w:styleId="5">
    <w:name w:val="heading 4"/>
    <w:basedOn w:val="1"/>
    <w:next w:val="1"/>
    <w:link w:val="51"/>
    <w:qFormat/>
    <w:uiPriority w:val="0"/>
    <w:pPr>
      <w:keepNext/>
      <w:keepLines/>
      <w:spacing w:before="280" w:beforeLines="0" w:after="290" w:afterLines="0" w:line="376" w:lineRule="atLeast"/>
      <w:outlineLvl w:val="3"/>
    </w:pPr>
    <w:rPr>
      <w:rFonts w:eastAsia="黑体"/>
      <w:sz w:val="28"/>
      <w:szCs w:val="28"/>
    </w:rPr>
  </w:style>
  <w:style w:type="paragraph" w:styleId="6">
    <w:name w:val="heading 5"/>
    <w:basedOn w:val="1"/>
    <w:next w:val="1"/>
    <w:link w:val="52"/>
    <w:qFormat/>
    <w:uiPriority w:val="0"/>
    <w:pPr>
      <w:keepNext/>
      <w:keepLines/>
      <w:spacing w:before="280" w:beforeLines="0" w:after="290" w:afterLines="0" w:line="374" w:lineRule="auto"/>
      <w:outlineLvl w:val="4"/>
    </w:pPr>
    <w:rPr>
      <w:b/>
      <w:bCs/>
      <w:sz w:val="28"/>
      <w:szCs w:val="28"/>
    </w:rPr>
  </w:style>
  <w:style w:type="paragraph" w:styleId="7">
    <w:name w:val="heading 6"/>
    <w:basedOn w:val="1"/>
    <w:next w:val="1"/>
    <w:link w:val="53"/>
    <w:qFormat/>
    <w:uiPriority w:val="0"/>
    <w:pPr>
      <w:keepNext/>
      <w:keepLines/>
      <w:spacing w:before="240" w:beforeLines="0" w:after="64" w:afterLines="0" w:line="319" w:lineRule="auto"/>
      <w:outlineLvl w:val="5"/>
    </w:pPr>
    <w:rPr>
      <w:rFonts w:ascii="Arial" w:hAnsi="Arial" w:eastAsia="黑体"/>
      <w:b/>
      <w:bCs/>
      <w:sz w:val="24"/>
      <w:szCs w:val="24"/>
    </w:rPr>
  </w:style>
  <w:style w:type="paragraph" w:styleId="8">
    <w:name w:val="heading 7"/>
    <w:basedOn w:val="1"/>
    <w:next w:val="1"/>
    <w:link w:val="54"/>
    <w:qFormat/>
    <w:uiPriority w:val="0"/>
    <w:pPr>
      <w:keepNext/>
      <w:keepLines/>
      <w:spacing w:before="240" w:beforeLines="0" w:after="64" w:afterLines="0" w:line="319" w:lineRule="auto"/>
      <w:outlineLvl w:val="6"/>
    </w:pPr>
    <w:rPr>
      <w:b/>
      <w:bCs/>
      <w:sz w:val="24"/>
      <w:szCs w:val="24"/>
    </w:rPr>
  </w:style>
  <w:style w:type="paragraph" w:styleId="9">
    <w:name w:val="heading 8"/>
    <w:basedOn w:val="1"/>
    <w:next w:val="1"/>
    <w:link w:val="55"/>
    <w:qFormat/>
    <w:uiPriority w:val="0"/>
    <w:pPr>
      <w:keepNext/>
      <w:keepLines/>
      <w:spacing w:before="240" w:beforeLines="0" w:after="64" w:afterLines="0" w:line="319" w:lineRule="auto"/>
      <w:outlineLvl w:val="7"/>
    </w:pPr>
    <w:rPr>
      <w:rFonts w:ascii="Arial" w:hAnsi="Arial" w:eastAsia="黑体"/>
      <w:sz w:val="24"/>
      <w:szCs w:val="24"/>
    </w:rPr>
  </w:style>
  <w:style w:type="paragraph" w:styleId="10">
    <w:name w:val="heading 9"/>
    <w:basedOn w:val="1"/>
    <w:next w:val="1"/>
    <w:link w:val="56"/>
    <w:qFormat/>
    <w:uiPriority w:val="0"/>
    <w:pPr>
      <w:keepNext/>
      <w:keepLines/>
      <w:spacing w:before="240" w:beforeLines="0" w:after="64" w:afterLines="0" w:line="319" w:lineRule="auto"/>
      <w:outlineLvl w:val="8"/>
    </w:pPr>
    <w:rPr>
      <w:rFonts w:ascii="Arial" w:hAnsi="Arial" w:eastAsia="黑体"/>
      <w:sz w:val="28"/>
      <w:szCs w:val="21"/>
    </w:r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style>
  <w:style w:type="paragraph" w:styleId="12">
    <w:name w:val="Normal Indent"/>
    <w:basedOn w:val="1"/>
    <w:qFormat/>
    <w:uiPriority w:val="0"/>
    <w:pPr>
      <w:ind w:firstLine="420" w:firstLineChars="200"/>
    </w:pPr>
    <w:rPr>
      <w:rFonts w:ascii="Times New Roman" w:hAnsi="Times New Roman"/>
      <w:sz w:val="28"/>
      <w:szCs w:val="20"/>
    </w:rPr>
  </w:style>
  <w:style w:type="paragraph" w:styleId="13">
    <w:name w:val="Document Map"/>
    <w:basedOn w:val="1"/>
    <w:link w:val="57"/>
    <w:unhideWhenUsed/>
    <w:qFormat/>
    <w:uiPriority w:val="0"/>
    <w:pPr>
      <w:shd w:val="clear" w:color="auto" w:fill="000080"/>
    </w:pPr>
    <w:rPr>
      <w:rFonts w:ascii="Times New Roman" w:hAnsi="Times New Roman"/>
      <w:sz w:val="28"/>
      <w:szCs w:val="24"/>
    </w:rPr>
  </w:style>
  <w:style w:type="paragraph" w:styleId="14">
    <w:name w:val="annotation text"/>
    <w:basedOn w:val="1"/>
    <w:link w:val="58"/>
    <w:unhideWhenUsed/>
    <w:qFormat/>
    <w:uiPriority w:val="0"/>
    <w:pPr>
      <w:jc w:val="left"/>
    </w:pPr>
    <w:rPr>
      <w:rFonts w:ascii="Times New Roman" w:hAnsi="Times New Roman"/>
      <w:kern w:val="0"/>
      <w:sz w:val="28"/>
      <w:szCs w:val="24"/>
    </w:rPr>
  </w:style>
  <w:style w:type="paragraph" w:styleId="15">
    <w:name w:val="Body Text 3"/>
    <w:basedOn w:val="1"/>
    <w:qFormat/>
    <w:uiPriority w:val="0"/>
    <w:pPr>
      <w:spacing w:after="120" w:afterLines="0"/>
    </w:pPr>
    <w:rPr>
      <w:rFonts w:ascii="Times New Roman" w:hAnsi="Times New Roman"/>
      <w:sz w:val="16"/>
      <w:szCs w:val="16"/>
    </w:rPr>
  </w:style>
  <w:style w:type="paragraph" w:styleId="16">
    <w:name w:val="Body Text"/>
    <w:basedOn w:val="1"/>
    <w:qFormat/>
    <w:uiPriority w:val="0"/>
    <w:pPr>
      <w:spacing w:after="120" w:afterLines="0"/>
    </w:pPr>
    <w:rPr>
      <w:rFonts w:ascii="Times New Roman" w:hAnsi="Times New Roman"/>
      <w:szCs w:val="24"/>
    </w:rPr>
  </w:style>
  <w:style w:type="paragraph" w:styleId="17">
    <w:name w:val="Body Text Indent"/>
    <w:basedOn w:val="1"/>
    <w:qFormat/>
    <w:uiPriority w:val="0"/>
    <w:pPr>
      <w:spacing w:line="360" w:lineRule="auto"/>
      <w:ind w:left="359" w:leftChars="171" w:firstLine="480"/>
    </w:pPr>
    <w:rPr>
      <w:rFonts w:ascii="Times New Roman" w:hAnsi="Times New Roman"/>
      <w:sz w:val="24"/>
      <w:szCs w:val="24"/>
    </w:rPr>
  </w:style>
  <w:style w:type="paragraph" w:styleId="18">
    <w:name w:val="toc 5"/>
    <w:basedOn w:val="1"/>
    <w:next w:val="1"/>
    <w:unhideWhenUsed/>
    <w:qFormat/>
    <w:uiPriority w:val="39"/>
    <w:pPr>
      <w:ind w:left="1680" w:leftChars="800"/>
    </w:pPr>
  </w:style>
  <w:style w:type="paragraph" w:styleId="19">
    <w:name w:val="toc 3"/>
    <w:basedOn w:val="1"/>
    <w:next w:val="1"/>
    <w:unhideWhenUsed/>
    <w:qFormat/>
    <w:uiPriority w:val="39"/>
    <w:pPr>
      <w:ind w:left="840" w:leftChars="400"/>
    </w:pPr>
  </w:style>
  <w:style w:type="paragraph" w:styleId="20">
    <w:name w:val="Plain Text"/>
    <w:basedOn w:val="1"/>
    <w:link w:val="59"/>
    <w:unhideWhenUsed/>
    <w:qFormat/>
    <w:uiPriority w:val="0"/>
    <w:rPr>
      <w:rFonts w:ascii="宋体" w:hAnsi="Courier New"/>
      <w:sz w:val="28"/>
      <w:szCs w:val="21"/>
    </w:rPr>
  </w:style>
  <w:style w:type="paragraph" w:styleId="21">
    <w:name w:val="toc 8"/>
    <w:basedOn w:val="1"/>
    <w:next w:val="1"/>
    <w:unhideWhenUsed/>
    <w:qFormat/>
    <w:uiPriority w:val="39"/>
    <w:pPr>
      <w:ind w:left="2940" w:leftChars="1400"/>
    </w:pPr>
  </w:style>
  <w:style w:type="paragraph" w:styleId="22">
    <w:name w:val="Date"/>
    <w:basedOn w:val="1"/>
    <w:next w:val="1"/>
    <w:link w:val="60"/>
    <w:unhideWhenUsed/>
    <w:qFormat/>
    <w:uiPriority w:val="99"/>
    <w:pPr>
      <w:ind w:left="100" w:leftChars="2500"/>
    </w:pPr>
  </w:style>
  <w:style w:type="paragraph" w:styleId="23">
    <w:name w:val="Body Text Indent 2"/>
    <w:basedOn w:val="1"/>
    <w:link w:val="61"/>
    <w:qFormat/>
    <w:uiPriority w:val="0"/>
    <w:pPr>
      <w:topLinePunct/>
      <w:spacing w:line="380" w:lineRule="atLeast"/>
      <w:ind w:firstLine="400" w:firstLineChars="200"/>
    </w:pPr>
    <w:rPr>
      <w:rFonts w:ascii="方正细等线简体" w:hAnsi="Times New Roman" w:eastAsia="方正细等线简体"/>
      <w:sz w:val="20"/>
      <w:szCs w:val="24"/>
    </w:rPr>
  </w:style>
  <w:style w:type="paragraph" w:styleId="24">
    <w:name w:val="Balloon Text"/>
    <w:basedOn w:val="1"/>
    <w:link w:val="62"/>
    <w:unhideWhenUsed/>
    <w:qFormat/>
    <w:uiPriority w:val="0"/>
    <w:rPr>
      <w:kern w:val="0"/>
      <w:sz w:val="18"/>
      <w:szCs w:val="18"/>
    </w:rPr>
  </w:style>
  <w:style w:type="paragraph" w:styleId="25">
    <w:name w:val="footer"/>
    <w:basedOn w:val="1"/>
    <w:link w:val="63"/>
    <w:unhideWhenUsed/>
    <w:qFormat/>
    <w:uiPriority w:val="0"/>
    <w:pPr>
      <w:tabs>
        <w:tab w:val="center" w:pos="4153"/>
        <w:tab w:val="right" w:pos="8306"/>
      </w:tabs>
      <w:snapToGrid w:val="0"/>
      <w:jc w:val="left"/>
    </w:pPr>
    <w:rPr>
      <w:kern w:val="0"/>
      <w:sz w:val="18"/>
      <w:szCs w:val="18"/>
    </w:rPr>
  </w:style>
  <w:style w:type="paragraph" w:styleId="26">
    <w:name w:val="header"/>
    <w:basedOn w:val="1"/>
    <w:link w:val="6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7">
    <w:name w:val="toc 1"/>
    <w:basedOn w:val="1"/>
    <w:next w:val="1"/>
    <w:unhideWhenUsed/>
    <w:qFormat/>
    <w:uiPriority w:val="39"/>
    <w:pPr>
      <w:tabs>
        <w:tab w:val="right" w:leader="dot" w:pos="8296"/>
      </w:tabs>
    </w:pPr>
    <w:rPr>
      <w:rFonts w:ascii="宋体" w:hAnsi="宋体"/>
      <w:b/>
      <w:szCs w:val="21"/>
    </w:rPr>
  </w:style>
  <w:style w:type="paragraph" w:styleId="28">
    <w:name w:val="toc 4"/>
    <w:basedOn w:val="1"/>
    <w:next w:val="1"/>
    <w:unhideWhenUsed/>
    <w:qFormat/>
    <w:uiPriority w:val="39"/>
    <w:pPr>
      <w:ind w:left="1260" w:leftChars="600"/>
    </w:pPr>
  </w:style>
  <w:style w:type="paragraph" w:styleId="29">
    <w:name w:val="Subtitle"/>
    <w:basedOn w:val="1"/>
    <w:link w:val="65"/>
    <w:qFormat/>
    <w:uiPriority w:val="0"/>
    <w:pPr>
      <w:numPr>
        <w:ilvl w:val="0"/>
        <w:numId w:val="1"/>
      </w:numPr>
      <w:tabs>
        <w:tab w:val="clear" w:pos="420"/>
      </w:tabs>
      <w:topLinePunct/>
      <w:spacing w:before="240" w:after="60" w:line="312" w:lineRule="auto"/>
      <w:ind w:left="0" w:firstLine="0"/>
      <w:jc w:val="center"/>
      <w:outlineLvl w:val="1"/>
    </w:pPr>
    <w:rPr>
      <w:rFonts w:ascii="Arial" w:hAnsi="Arial"/>
      <w:b/>
      <w:bCs/>
      <w:kern w:val="28"/>
      <w:sz w:val="32"/>
      <w:szCs w:val="32"/>
    </w:rPr>
  </w:style>
  <w:style w:type="paragraph" w:styleId="30">
    <w:name w:val="footnote text"/>
    <w:basedOn w:val="1"/>
    <w:link w:val="66"/>
    <w:unhideWhenUsed/>
    <w:qFormat/>
    <w:uiPriority w:val="0"/>
    <w:pPr>
      <w:widowControl/>
      <w:jc w:val="left"/>
    </w:pPr>
    <w:rPr>
      <w:kern w:val="0"/>
      <w:sz w:val="20"/>
      <w:szCs w:val="20"/>
    </w:rPr>
  </w:style>
  <w:style w:type="paragraph" w:styleId="31">
    <w:name w:val="toc 6"/>
    <w:basedOn w:val="1"/>
    <w:next w:val="1"/>
    <w:unhideWhenUsed/>
    <w:qFormat/>
    <w:uiPriority w:val="39"/>
    <w:pPr>
      <w:ind w:left="2100" w:leftChars="1000"/>
    </w:pPr>
  </w:style>
  <w:style w:type="paragraph" w:styleId="32">
    <w:name w:val="Body Text Indent 3"/>
    <w:basedOn w:val="1"/>
    <w:qFormat/>
    <w:uiPriority w:val="0"/>
    <w:pPr>
      <w:spacing w:line="360" w:lineRule="auto"/>
      <w:ind w:left="178" w:leftChars="85" w:firstLine="540"/>
    </w:pPr>
    <w:rPr>
      <w:rFonts w:ascii="Times New Roman" w:hAnsi="Times New Roman"/>
      <w:sz w:val="24"/>
      <w:szCs w:val="24"/>
    </w:rPr>
  </w:style>
  <w:style w:type="paragraph" w:styleId="33">
    <w:name w:val="table of figures"/>
    <w:basedOn w:val="1"/>
    <w:next w:val="1"/>
    <w:semiHidden/>
    <w:qFormat/>
    <w:uiPriority w:val="0"/>
    <w:pPr>
      <w:numPr>
        <w:ilvl w:val="0"/>
        <w:numId w:val="2"/>
      </w:numPr>
      <w:topLinePunct/>
      <w:spacing w:line="360" w:lineRule="auto"/>
      <w:jc w:val="center"/>
    </w:pPr>
    <w:rPr>
      <w:rFonts w:ascii="方正细等线简体" w:hAnsi="Times New Roman"/>
      <w:b/>
      <w:bCs/>
      <w:smallCaps/>
      <w:sz w:val="20"/>
      <w:szCs w:val="24"/>
    </w:rPr>
  </w:style>
  <w:style w:type="paragraph" w:styleId="34">
    <w:name w:val="toc 2"/>
    <w:basedOn w:val="1"/>
    <w:next w:val="1"/>
    <w:link w:val="67"/>
    <w:unhideWhenUsed/>
    <w:qFormat/>
    <w:uiPriority w:val="0"/>
    <w:pPr>
      <w:ind w:left="420" w:leftChars="200"/>
    </w:pPr>
  </w:style>
  <w:style w:type="paragraph" w:styleId="35">
    <w:name w:val="toc 9"/>
    <w:basedOn w:val="1"/>
    <w:next w:val="1"/>
    <w:unhideWhenUsed/>
    <w:qFormat/>
    <w:uiPriority w:val="39"/>
    <w:pPr>
      <w:ind w:left="3360" w:leftChars="1600"/>
    </w:pPr>
  </w:style>
  <w:style w:type="paragraph" w:styleId="36">
    <w:name w:val="Body Text 2"/>
    <w:basedOn w:val="1"/>
    <w:link w:val="68"/>
    <w:unhideWhenUsed/>
    <w:qFormat/>
    <w:uiPriority w:val="99"/>
    <w:pPr>
      <w:spacing w:after="120" w:line="480" w:lineRule="auto"/>
    </w:pPr>
  </w:style>
  <w:style w:type="paragraph" w:styleId="37">
    <w:name w:val="HTML Preformatted"/>
    <w:basedOn w:val="1"/>
    <w:link w:val="6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tLeast"/>
      <w:jc w:val="left"/>
    </w:pPr>
    <w:rPr>
      <w:rFonts w:ascii="Arial" w:hAnsi="Arial"/>
      <w:kern w:val="0"/>
      <w:sz w:val="18"/>
      <w:szCs w:val="18"/>
    </w:rPr>
  </w:style>
  <w:style w:type="paragraph" w:styleId="38">
    <w:name w:val="Normal (Web)"/>
    <w:basedOn w:val="1"/>
    <w:unhideWhenUsed/>
    <w:qFormat/>
    <w:uiPriority w:val="99"/>
    <w:pPr>
      <w:widowControl/>
      <w:spacing w:before="100" w:beforeLines="0" w:beforeAutospacing="1" w:after="100" w:afterLines="0" w:afterAutospacing="1"/>
      <w:jc w:val="left"/>
    </w:pPr>
    <w:rPr>
      <w:rFonts w:ascii="宋体" w:hAnsi="宋体" w:eastAsia="宋体" w:cs="宋体"/>
      <w:kern w:val="0"/>
      <w:sz w:val="24"/>
      <w:szCs w:val="24"/>
    </w:rPr>
  </w:style>
  <w:style w:type="paragraph" w:styleId="39">
    <w:name w:val="annotation subject"/>
    <w:basedOn w:val="14"/>
    <w:next w:val="14"/>
    <w:link w:val="70"/>
    <w:unhideWhenUsed/>
    <w:qFormat/>
    <w:uiPriority w:val="0"/>
    <w:rPr>
      <w:b/>
      <w:bCs/>
      <w:kern w:val="2"/>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page number"/>
    <w:basedOn w:val="42"/>
    <w:qFormat/>
    <w:uiPriority w:val="0"/>
  </w:style>
  <w:style w:type="character" w:styleId="44">
    <w:name w:val="FollowedHyperlink"/>
    <w:unhideWhenUsed/>
    <w:qFormat/>
    <w:uiPriority w:val="99"/>
    <w:rPr>
      <w:color w:val="800080"/>
      <w:u w:val="single"/>
    </w:rPr>
  </w:style>
  <w:style w:type="character" w:styleId="45">
    <w:name w:val="Emphasis"/>
    <w:qFormat/>
    <w:uiPriority w:val="20"/>
    <w:rPr>
      <w:color w:val="CC0033"/>
    </w:rPr>
  </w:style>
  <w:style w:type="character" w:styleId="46">
    <w:name w:val="Hyperlink"/>
    <w:unhideWhenUsed/>
    <w:qFormat/>
    <w:uiPriority w:val="99"/>
    <w:rPr>
      <w:color w:val="0000FF"/>
      <w:u w:val="single"/>
    </w:rPr>
  </w:style>
  <w:style w:type="character" w:styleId="47">
    <w:name w:val="annotation reference"/>
    <w:unhideWhenUsed/>
    <w:qFormat/>
    <w:uiPriority w:val="0"/>
    <w:rPr>
      <w:sz w:val="21"/>
      <w:szCs w:val="21"/>
    </w:rPr>
  </w:style>
  <w:style w:type="character" w:customStyle="1" w:styleId="48">
    <w:name w:val="标题 1 Char"/>
    <w:link w:val="2"/>
    <w:qFormat/>
    <w:uiPriority w:val="0"/>
    <w:rPr>
      <w:rFonts w:ascii="宋体" w:hAnsi="Calibri" w:eastAsia="宋体"/>
      <w:b/>
      <w:bCs/>
      <w:kern w:val="44"/>
      <w:sz w:val="28"/>
      <w:szCs w:val="44"/>
      <w:lang w:val="en-US" w:eastAsia="zh-CN" w:bidi="ar-SA"/>
    </w:rPr>
  </w:style>
  <w:style w:type="character" w:customStyle="1" w:styleId="49">
    <w:name w:val="标题 2 Char"/>
    <w:link w:val="3"/>
    <w:qFormat/>
    <w:uiPriority w:val="0"/>
    <w:rPr>
      <w:rFonts w:ascii="宋体" w:hAnsi="Cambria" w:eastAsia="宋体"/>
      <w:b/>
      <w:bCs/>
      <w:kern w:val="2"/>
      <w:sz w:val="24"/>
      <w:szCs w:val="32"/>
      <w:lang w:val="en-US" w:eastAsia="zh-CN" w:bidi="ar-SA"/>
    </w:rPr>
  </w:style>
  <w:style w:type="character" w:customStyle="1" w:styleId="50">
    <w:name w:val="标题 3 Char"/>
    <w:link w:val="4"/>
    <w:qFormat/>
    <w:uiPriority w:val="0"/>
    <w:rPr>
      <w:rFonts w:ascii="宋体" w:hAnsi="Calibri" w:eastAsia="宋体"/>
      <w:b/>
      <w:bCs/>
      <w:kern w:val="2"/>
      <w:sz w:val="21"/>
      <w:szCs w:val="32"/>
      <w:lang w:val="en-US" w:eastAsia="zh-CN" w:bidi="ar-SA"/>
    </w:rPr>
  </w:style>
  <w:style w:type="character" w:customStyle="1" w:styleId="51">
    <w:name w:val="标题 4 Char"/>
    <w:link w:val="5"/>
    <w:qFormat/>
    <w:uiPriority w:val="0"/>
    <w:rPr>
      <w:rFonts w:eastAsia="黑体"/>
      <w:kern w:val="2"/>
      <w:sz w:val="28"/>
      <w:szCs w:val="28"/>
      <w:lang w:val="en-US" w:eastAsia="zh-CN" w:bidi="ar-SA"/>
    </w:rPr>
  </w:style>
  <w:style w:type="character" w:customStyle="1" w:styleId="52">
    <w:name w:val="标题 5 Char"/>
    <w:link w:val="6"/>
    <w:qFormat/>
    <w:uiPriority w:val="0"/>
    <w:rPr>
      <w:rFonts w:eastAsia="宋体"/>
      <w:b/>
      <w:bCs/>
      <w:kern w:val="2"/>
      <w:sz w:val="28"/>
      <w:szCs w:val="28"/>
      <w:lang w:val="en-US" w:eastAsia="zh-CN" w:bidi="ar-SA"/>
    </w:rPr>
  </w:style>
  <w:style w:type="character" w:customStyle="1" w:styleId="53">
    <w:name w:val="标题 6 Char"/>
    <w:link w:val="7"/>
    <w:qFormat/>
    <w:uiPriority w:val="0"/>
    <w:rPr>
      <w:rFonts w:ascii="Arial" w:hAnsi="Arial" w:eastAsia="黑体"/>
      <w:b/>
      <w:bCs/>
      <w:kern w:val="2"/>
      <w:sz w:val="24"/>
      <w:szCs w:val="24"/>
      <w:lang w:val="en-US" w:eastAsia="zh-CN" w:bidi="ar-SA"/>
    </w:rPr>
  </w:style>
  <w:style w:type="character" w:customStyle="1" w:styleId="54">
    <w:name w:val="标题 7 Char"/>
    <w:link w:val="8"/>
    <w:qFormat/>
    <w:uiPriority w:val="0"/>
    <w:rPr>
      <w:rFonts w:eastAsia="宋体"/>
      <w:b/>
      <w:bCs/>
      <w:kern w:val="2"/>
      <w:sz w:val="24"/>
      <w:szCs w:val="24"/>
      <w:lang w:val="en-US" w:eastAsia="zh-CN" w:bidi="ar-SA"/>
    </w:rPr>
  </w:style>
  <w:style w:type="character" w:customStyle="1" w:styleId="55">
    <w:name w:val="标题 8 Char"/>
    <w:link w:val="9"/>
    <w:qFormat/>
    <w:uiPriority w:val="0"/>
    <w:rPr>
      <w:rFonts w:ascii="Arial" w:hAnsi="Arial" w:eastAsia="黑体"/>
      <w:kern w:val="2"/>
      <w:sz w:val="24"/>
      <w:szCs w:val="24"/>
      <w:lang w:val="en-US" w:eastAsia="zh-CN" w:bidi="ar-SA"/>
    </w:rPr>
  </w:style>
  <w:style w:type="character" w:customStyle="1" w:styleId="56">
    <w:name w:val="标题 9 Char"/>
    <w:link w:val="10"/>
    <w:qFormat/>
    <w:uiPriority w:val="0"/>
    <w:rPr>
      <w:rFonts w:ascii="Arial" w:hAnsi="Arial" w:eastAsia="黑体"/>
      <w:kern w:val="2"/>
      <w:sz w:val="28"/>
      <w:szCs w:val="21"/>
      <w:lang w:val="en-US" w:eastAsia="zh-CN" w:bidi="ar-SA"/>
    </w:rPr>
  </w:style>
  <w:style w:type="character" w:customStyle="1" w:styleId="57">
    <w:name w:val="文档结构图 Char"/>
    <w:link w:val="13"/>
    <w:semiHidden/>
    <w:qFormat/>
    <w:uiPriority w:val="0"/>
    <w:rPr>
      <w:rFonts w:ascii="Times New Roman" w:hAnsi="Times New Roman"/>
      <w:kern w:val="2"/>
      <w:sz w:val="28"/>
      <w:szCs w:val="24"/>
      <w:shd w:val="clear" w:color="auto" w:fill="000080"/>
    </w:rPr>
  </w:style>
  <w:style w:type="character" w:customStyle="1" w:styleId="58">
    <w:name w:val="批注文字 Char"/>
    <w:link w:val="14"/>
    <w:qFormat/>
    <w:uiPriority w:val="0"/>
    <w:rPr>
      <w:rFonts w:ascii="Times New Roman" w:hAnsi="Times New Roman" w:eastAsia="宋体" w:cs="Times New Roman"/>
      <w:sz w:val="28"/>
      <w:szCs w:val="24"/>
    </w:rPr>
  </w:style>
  <w:style w:type="character" w:customStyle="1" w:styleId="59">
    <w:name w:val="纯文本 Char"/>
    <w:link w:val="20"/>
    <w:qFormat/>
    <w:uiPriority w:val="0"/>
    <w:rPr>
      <w:rFonts w:ascii="宋体" w:hAnsi="Courier New" w:cs="Courier New"/>
      <w:kern w:val="2"/>
      <w:sz w:val="28"/>
      <w:szCs w:val="21"/>
    </w:rPr>
  </w:style>
  <w:style w:type="character" w:customStyle="1" w:styleId="60">
    <w:name w:val="日期 Char"/>
    <w:link w:val="22"/>
    <w:qFormat/>
    <w:uiPriority w:val="99"/>
    <w:rPr>
      <w:kern w:val="2"/>
      <w:sz w:val="21"/>
      <w:szCs w:val="22"/>
    </w:rPr>
  </w:style>
  <w:style w:type="character" w:customStyle="1" w:styleId="61">
    <w:name w:val="正文文本缩进 2 Char"/>
    <w:link w:val="23"/>
    <w:qFormat/>
    <w:uiPriority w:val="0"/>
    <w:rPr>
      <w:rFonts w:ascii="方正细等线简体" w:hAnsi="Times New Roman" w:eastAsia="方正细等线简体"/>
      <w:kern w:val="2"/>
      <w:szCs w:val="24"/>
    </w:rPr>
  </w:style>
  <w:style w:type="character" w:customStyle="1" w:styleId="62">
    <w:name w:val="批注框文本 Char"/>
    <w:link w:val="24"/>
    <w:qFormat/>
    <w:uiPriority w:val="0"/>
    <w:rPr>
      <w:sz w:val="18"/>
      <w:szCs w:val="18"/>
    </w:rPr>
  </w:style>
  <w:style w:type="character" w:customStyle="1" w:styleId="63">
    <w:name w:val="页脚 Char"/>
    <w:link w:val="25"/>
    <w:qFormat/>
    <w:uiPriority w:val="0"/>
    <w:rPr>
      <w:sz w:val="18"/>
      <w:szCs w:val="18"/>
    </w:rPr>
  </w:style>
  <w:style w:type="character" w:customStyle="1" w:styleId="64">
    <w:name w:val="页眉 Char"/>
    <w:link w:val="26"/>
    <w:qFormat/>
    <w:uiPriority w:val="99"/>
    <w:rPr>
      <w:sz w:val="18"/>
      <w:szCs w:val="18"/>
    </w:rPr>
  </w:style>
  <w:style w:type="character" w:customStyle="1" w:styleId="65">
    <w:name w:val="副标题 Char"/>
    <w:link w:val="29"/>
    <w:qFormat/>
    <w:uiPriority w:val="0"/>
    <w:rPr>
      <w:rFonts w:ascii="Arial" w:hAnsi="Arial"/>
      <w:b/>
      <w:bCs/>
      <w:kern w:val="28"/>
      <w:sz w:val="32"/>
      <w:szCs w:val="32"/>
    </w:rPr>
  </w:style>
  <w:style w:type="character" w:customStyle="1" w:styleId="66">
    <w:name w:val="脚注文本 Char"/>
    <w:basedOn w:val="42"/>
    <w:link w:val="30"/>
    <w:qFormat/>
    <w:uiPriority w:val="0"/>
  </w:style>
  <w:style w:type="character" w:customStyle="1" w:styleId="67">
    <w:name w:val="目录 2 Char"/>
    <w:link w:val="34"/>
    <w:qFormat/>
    <w:locked/>
    <w:uiPriority w:val="0"/>
    <w:rPr>
      <w:kern w:val="2"/>
      <w:sz w:val="21"/>
      <w:szCs w:val="22"/>
    </w:rPr>
  </w:style>
  <w:style w:type="character" w:customStyle="1" w:styleId="68">
    <w:name w:val="正文文本 2 Char"/>
    <w:link w:val="36"/>
    <w:qFormat/>
    <w:uiPriority w:val="99"/>
    <w:rPr>
      <w:kern w:val="2"/>
      <w:sz w:val="21"/>
      <w:szCs w:val="22"/>
    </w:rPr>
  </w:style>
  <w:style w:type="character" w:customStyle="1" w:styleId="69">
    <w:name w:val="HTML 预设格式 Char"/>
    <w:link w:val="37"/>
    <w:qFormat/>
    <w:uiPriority w:val="0"/>
    <w:rPr>
      <w:rFonts w:ascii="Arial" w:hAnsi="Arial" w:cs="Arial"/>
      <w:sz w:val="18"/>
      <w:szCs w:val="18"/>
    </w:rPr>
  </w:style>
  <w:style w:type="character" w:customStyle="1" w:styleId="70">
    <w:name w:val="批注主题 Char"/>
    <w:link w:val="39"/>
    <w:qFormat/>
    <w:uiPriority w:val="0"/>
    <w:rPr>
      <w:rFonts w:ascii="Times New Roman" w:hAnsi="Times New Roman" w:eastAsia="宋体" w:cs="Times New Roman"/>
      <w:b/>
      <w:bCs/>
      <w:kern w:val="2"/>
      <w:sz w:val="28"/>
      <w:szCs w:val="24"/>
    </w:rPr>
  </w:style>
  <w:style w:type="character" w:customStyle="1" w:styleId="71">
    <w:name w:val=" Char Char"/>
    <w:semiHidden/>
    <w:qFormat/>
    <w:locked/>
    <w:uiPriority w:val="0"/>
    <w:rPr>
      <w:rFonts w:ascii="宋体" w:hAnsi="Courier New" w:eastAsia="宋体" w:cs="Courier New"/>
      <w:kern w:val="2"/>
      <w:sz w:val="21"/>
      <w:szCs w:val="21"/>
      <w:lang w:val="en-US" w:eastAsia="zh-CN" w:bidi="ar-SA"/>
    </w:rPr>
  </w:style>
  <w:style w:type="character" w:customStyle="1" w:styleId="72">
    <w:name w:val="标题 2 Char1"/>
    <w:qFormat/>
    <w:uiPriority w:val="0"/>
    <w:rPr>
      <w:rFonts w:ascii="Cambria" w:hAnsi="Cambria" w:eastAsia="宋体" w:cs="Times New Roman"/>
      <w:b/>
      <w:bCs/>
      <w:kern w:val="2"/>
      <w:sz w:val="32"/>
      <w:szCs w:val="32"/>
    </w:rPr>
  </w:style>
  <w:style w:type="character" w:customStyle="1" w:styleId="73">
    <w:name w:val="H4 Char"/>
    <w:qFormat/>
    <w:uiPriority w:val="0"/>
    <w:rPr>
      <w:rFonts w:ascii="Cambria" w:hAnsi="Cambria" w:eastAsia="宋体"/>
      <w:b/>
      <w:bCs/>
      <w:kern w:val="2"/>
      <w:sz w:val="28"/>
      <w:szCs w:val="28"/>
      <w:lang w:val="en-US" w:eastAsia="zh-CN" w:bidi="ar-SA"/>
    </w:rPr>
  </w:style>
  <w:style w:type="character" w:customStyle="1" w:styleId="74">
    <w:name w:val="标题 3 Char1"/>
    <w:semiHidden/>
    <w:qFormat/>
    <w:uiPriority w:val="0"/>
    <w:rPr>
      <w:b/>
      <w:bCs/>
      <w:kern w:val="2"/>
      <w:sz w:val="32"/>
      <w:szCs w:val="32"/>
    </w:rPr>
  </w:style>
  <w:style w:type="character" w:customStyle="1" w:styleId="75">
    <w:name w:val="无间隔 Char"/>
    <w:link w:val="76"/>
    <w:qFormat/>
    <w:uiPriority w:val="1"/>
    <w:rPr>
      <w:sz w:val="22"/>
      <w:szCs w:val="22"/>
      <w:lang w:val="en-US" w:eastAsia="zh-CN" w:bidi="ar-SA"/>
    </w:rPr>
  </w:style>
  <w:style w:type="paragraph" w:styleId="76">
    <w:name w:val="No Spacing"/>
    <w:link w:val="75"/>
    <w:qFormat/>
    <w:uiPriority w:val="1"/>
    <w:pPr>
      <w:spacing w:line="276" w:lineRule="auto"/>
      <w:jc w:val="both"/>
    </w:pPr>
    <w:rPr>
      <w:rFonts w:ascii="Calibri" w:hAnsi="Calibri" w:eastAsia="宋体" w:cs="Times New Roman"/>
      <w:sz w:val="22"/>
      <w:szCs w:val="22"/>
      <w:lang w:val="en-US" w:eastAsia="zh-CN" w:bidi="ar-SA"/>
    </w:rPr>
  </w:style>
  <w:style w:type="character" w:customStyle="1" w:styleId="77">
    <w:name w:val="样式8 Char"/>
    <w:link w:val="78"/>
    <w:qFormat/>
    <w:locked/>
    <w:uiPriority w:val="0"/>
    <w:rPr>
      <w:rFonts w:ascii="黑体" w:hAnsi="黑体" w:eastAsia="黑体"/>
      <w:b/>
      <w:bCs/>
      <w:kern w:val="2"/>
      <w:sz w:val="28"/>
      <w:szCs w:val="28"/>
    </w:rPr>
  </w:style>
  <w:style w:type="paragraph" w:customStyle="1" w:styleId="78">
    <w:name w:val="样式8"/>
    <w:basedOn w:val="1"/>
    <w:link w:val="77"/>
    <w:qFormat/>
    <w:uiPriority w:val="0"/>
    <w:pPr>
      <w:keepNext/>
      <w:keepLines/>
      <w:numPr>
        <w:ilvl w:val="3"/>
        <w:numId w:val="3"/>
      </w:numPr>
      <w:spacing w:before="280" w:after="290" w:line="376" w:lineRule="atLeast"/>
      <w:outlineLvl w:val="3"/>
    </w:pPr>
    <w:rPr>
      <w:rFonts w:ascii="黑体" w:hAnsi="黑体" w:eastAsia="黑体"/>
      <w:b/>
      <w:bCs/>
      <w:sz w:val="28"/>
      <w:szCs w:val="28"/>
    </w:rPr>
  </w:style>
  <w:style w:type="character" w:customStyle="1" w:styleId="79">
    <w:name w:val="0级标题 Char"/>
    <w:link w:val="80"/>
    <w:qFormat/>
    <w:locked/>
    <w:uiPriority w:val="0"/>
    <w:rPr>
      <w:rFonts w:ascii="Cambria" w:hAnsi="Cambria"/>
      <w:b/>
      <w:bCs/>
      <w:kern w:val="32"/>
      <w:sz w:val="32"/>
      <w:szCs w:val="32"/>
      <w:lang w:eastAsia="en-US" w:bidi="en-US"/>
    </w:rPr>
  </w:style>
  <w:style w:type="paragraph" w:customStyle="1" w:styleId="80">
    <w:name w:val="0级标题"/>
    <w:basedOn w:val="2"/>
    <w:link w:val="79"/>
    <w:qFormat/>
    <w:uiPriority w:val="0"/>
    <w:pPr>
      <w:keepLines w:val="0"/>
      <w:widowControl/>
      <w:spacing w:before="0" w:beforeLines="0" w:after="0" w:afterLines="0" w:line="440" w:lineRule="exact"/>
      <w:jc w:val="left"/>
    </w:pPr>
    <w:rPr>
      <w:rFonts w:ascii="Cambria" w:hAnsi="Cambria"/>
      <w:kern w:val="32"/>
      <w:sz w:val="32"/>
      <w:szCs w:val="32"/>
      <w:lang w:eastAsia="en-US" w:bidi="en-US"/>
    </w:rPr>
  </w:style>
  <w:style w:type="character" w:customStyle="1" w:styleId="81">
    <w:name w:val=" Char Char15"/>
    <w:qFormat/>
    <w:uiPriority w:val="0"/>
    <w:rPr>
      <w:rFonts w:eastAsia="宋体"/>
      <w:b/>
      <w:bCs/>
      <w:kern w:val="2"/>
      <w:sz w:val="32"/>
      <w:szCs w:val="32"/>
      <w:lang w:val="en-US" w:eastAsia="zh-CN" w:bidi="ar-SA"/>
    </w:rPr>
  </w:style>
  <w:style w:type="character" w:customStyle="1" w:styleId="82">
    <w:name w:val="Char Char15"/>
    <w:qFormat/>
    <w:uiPriority w:val="0"/>
    <w:rPr>
      <w:rFonts w:eastAsia="宋体"/>
      <w:b/>
      <w:bCs/>
      <w:kern w:val="2"/>
      <w:sz w:val="32"/>
      <w:szCs w:val="32"/>
      <w:lang w:val="en-US" w:eastAsia="zh-CN" w:bidi="ar-SA"/>
    </w:rPr>
  </w:style>
  <w:style w:type="character" w:customStyle="1" w:styleId="83">
    <w:name w:val="Heading 2 Hidden Char"/>
    <w:qFormat/>
    <w:uiPriority w:val="0"/>
    <w:rPr>
      <w:rFonts w:ascii="Arial" w:hAnsi="Arial" w:eastAsia="黑体"/>
      <w:b/>
      <w:bCs/>
      <w:kern w:val="2"/>
      <w:sz w:val="32"/>
      <w:szCs w:val="32"/>
      <w:lang w:val="en-US" w:eastAsia="zh-CN" w:bidi="ar-SA"/>
    </w:rPr>
  </w:style>
  <w:style w:type="character" w:customStyle="1" w:styleId="84">
    <w:name w:val=" Char Char7"/>
    <w:qFormat/>
    <w:locked/>
    <w:uiPriority w:val="0"/>
    <w:rPr>
      <w:rFonts w:ascii="宋体" w:hAnsi="宋体" w:eastAsia="宋体"/>
      <w:kern w:val="2"/>
      <w:sz w:val="21"/>
      <w:szCs w:val="24"/>
      <w:lang w:val="en-US" w:eastAsia="zh-CN" w:bidi="ar-SA"/>
    </w:rPr>
  </w:style>
  <w:style w:type="character" w:customStyle="1" w:styleId="85">
    <w:name w:val="Char Char"/>
    <w:semiHidden/>
    <w:qFormat/>
    <w:locked/>
    <w:uiPriority w:val="0"/>
    <w:rPr>
      <w:rFonts w:ascii="宋体" w:hAnsi="Courier New" w:eastAsia="宋体" w:cs="Courier New"/>
      <w:kern w:val="2"/>
      <w:sz w:val="21"/>
      <w:szCs w:val="21"/>
      <w:lang w:val="en-US" w:eastAsia="zh-CN" w:bidi="ar-SA"/>
    </w:rPr>
  </w:style>
  <w:style w:type="character" w:customStyle="1" w:styleId="86">
    <w:name w:val="样式5 Char"/>
    <w:link w:val="87"/>
    <w:qFormat/>
    <w:locked/>
    <w:uiPriority w:val="0"/>
    <w:rPr>
      <w:b/>
      <w:bCs/>
      <w:kern w:val="2"/>
      <w:sz w:val="21"/>
      <w:szCs w:val="32"/>
    </w:rPr>
  </w:style>
  <w:style w:type="paragraph" w:customStyle="1" w:styleId="87">
    <w:name w:val="样式5"/>
    <w:basedOn w:val="4"/>
    <w:link w:val="86"/>
    <w:qFormat/>
    <w:uiPriority w:val="0"/>
    <w:pPr>
      <w:numPr>
        <w:ilvl w:val="2"/>
        <w:numId w:val="4"/>
      </w:numPr>
      <w:spacing w:line="320" w:lineRule="atLeast"/>
    </w:pPr>
    <w:rPr>
      <w:rFonts w:ascii="Calibri"/>
    </w:rPr>
  </w:style>
  <w:style w:type="character" w:customStyle="1" w:styleId="88">
    <w:name w:val="手册大纲4 Char"/>
    <w:link w:val="89"/>
    <w:qFormat/>
    <w:locked/>
    <w:uiPriority w:val="0"/>
    <w:rPr>
      <w:kern w:val="2"/>
      <w:sz w:val="28"/>
      <w:szCs w:val="24"/>
    </w:rPr>
  </w:style>
  <w:style w:type="paragraph" w:customStyle="1" w:styleId="89">
    <w:name w:val="手册大纲4"/>
    <w:basedOn w:val="1"/>
    <w:link w:val="88"/>
    <w:qFormat/>
    <w:uiPriority w:val="0"/>
    <w:pPr>
      <w:spacing w:line="480" w:lineRule="auto"/>
    </w:pPr>
    <w:rPr>
      <w:sz w:val="28"/>
      <w:szCs w:val="24"/>
    </w:rPr>
  </w:style>
  <w:style w:type="character" w:customStyle="1" w:styleId="90">
    <w:name w:val=" Char Char1"/>
    <w:qFormat/>
    <w:uiPriority w:val="0"/>
    <w:rPr>
      <w:rFonts w:ascii="宋体" w:hAnsi="Courier New" w:cs="Courier New"/>
      <w:kern w:val="2"/>
      <w:sz w:val="21"/>
      <w:szCs w:val="21"/>
    </w:rPr>
  </w:style>
  <w:style w:type="character" w:customStyle="1" w:styleId="91">
    <w:name w:val="apple-style-span"/>
    <w:basedOn w:val="42"/>
    <w:qFormat/>
    <w:uiPriority w:val="0"/>
  </w:style>
  <w:style w:type="character" w:customStyle="1" w:styleId="92">
    <w:name w:val="Char Char1"/>
    <w:qFormat/>
    <w:uiPriority w:val="0"/>
    <w:rPr>
      <w:rFonts w:ascii="宋体" w:hAnsi="Courier New" w:cs="Courier New"/>
      <w:kern w:val="2"/>
      <w:sz w:val="21"/>
      <w:szCs w:val="21"/>
    </w:rPr>
  </w:style>
  <w:style w:type="character" w:customStyle="1" w:styleId="93">
    <w:name w:val="_Style 92"/>
    <w:qFormat/>
    <w:uiPriority w:val="0"/>
    <w:rPr>
      <w:rFonts w:eastAsia="宋体" w:cs="Times New Roman"/>
      <w:i/>
      <w:iCs/>
      <w:color w:val="808080"/>
      <w:szCs w:val="22"/>
      <w:lang w:eastAsia="zh-CN"/>
    </w:rPr>
  </w:style>
  <w:style w:type="character" w:customStyle="1" w:styleId="94">
    <w:name w:val="Char Char7"/>
    <w:qFormat/>
    <w:uiPriority w:val="0"/>
    <w:rPr>
      <w:rFonts w:hint="eastAsia" w:ascii="宋体" w:hAnsi="宋体" w:eastAsia="宋体" w:cs="Times New Roman"/>
      <w:sz w:val="24"/>
      <w:szCs w:val="24"/>
      <w:lang w:val="en-GB"/>
    </w:rPr>
  </w:style>
  <w:style w:type="character" w:customStyle="1" w:styleId="95">
    <w:name w:val="标题 1 Char1"/>
    <w:qFormat/>
    <w:uiPriority w:val="0"/>
    <w:rPr>
      <w:rFonts w:eastAsia="宋体"/>
      <w:b/>
      <w:bCs/>
      <w:kern w:val="44"/>
      <w:sz w:val="30"/>
      <w:szCs w:val="30"/>
      <w:lang w:val="en-US" w:eastAsia="zh-CN" w:bidi="ar-SA"/>
    </w:rPr>
  </w:style>
  <w:style w:type="character" w:customStyle="1" w:styleId="96">
    <w:name w:val="标题 4 Char1"/>
    <w:semiHidden/>
    <w:qFormat/>
    <w:uiPriority w:val="0"/>
    <w:rPr>
      <w:rFonts w:ascii="Cambria" w:hAnsi="Cambria" w:eastAsia="宋体" w:cs="Times New Roman"/>
      <w:b/>
      <w:bCs/>
      <w:kern w:val="2"/>
      <w:sz w:val="28"/>
      <w:szCs w:val="28"/>
    </w:rPr>
  </w:style>
  <w:style w:type="paragraph" w:customStyle="1" w:styleId="97">
    <w:name w:val="正文页脚"/>
    <w:qFormat/>
    <w:uiPriority w:val="0"/>
    <w:pPr>
      <w:ind w:firstLine="1120" w:firstLineChars="350"/>
      <w:jc w:val="center"/>
    </w:pPr>
    <w:rPr>
      <w:rFonts w:ascii="黑体" w:hAnsi="Calibri" w:eastAsia="黑体" w:cs="Times New Roman"/>
      <w:sz w:val="18"/>
      <w:lang w:val="en-US" w:eastAsia="zh-CN" w:bidi="ar-SA"/>
    </w:rPr>
  </w:style>
  <w:style w:type="paragraph" w:customStyle="1" w:styleId="98">
    <w:name w:val="font8"/>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9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kern w:val="0"/>
      <w:sz w:val="18"/>
      <w:szCs w:val="18"/>
    </w:rPr>
  </w:style>
  <w:style w:type="paragraph" w:customStyle="1" w:styleId="100">
    <w:name w:val="font7"/>
    <w:basedOn w:val="1"/>
    <w:qFormat/>
    <w:uiPriority w:val="0"/>
    <w:pPr>
      <w:widowControl/>
      <w:spacing w:before="100" w:beforeLines="0" w:beforeAutospacing="1" w:after="100" w:afterLines="0" w:afterAutospacing="1"/>
      <w:jc w:val="left"/>
    </w:pPr>
    <w:rPr>
      <w:rFonts w:ascii="宋体" w:hAnsi="宋体" w:cs="宋体"/>
      <w:b/>
      <w:bCs/>
      <w:color w:val="000000"/>
      <w:kern w:val="0"/>
      <w:sz w:val="18"/>
      <w:szCs w:val="18"/>
    </w:rPr>
  </w:style>
  <w:style w:type="paragraph" w:customStyle="1" w:styleId="101">
    <w:name w:val="二级条标题"/>
    <w:basedOn w:val="1"/>
    <w:next w:val="1"/>
    <w:qFormat/>
    <w:uiPriority w:val="0"/>
    <w:pPr>
      <w:widowControl/>
      <w:numPr>
        <w:ilvl w:val="3"/>
        <w:numId w:val="5"/>
      </w:numPr>
      <w:spacing w:line="440" w:lineRule="exact"/>
      <w:ind w:firstLine="420"/>
      <w:jc w:val="left"/>
      <w:outlineLvl w:val="3"/>
    </w:pPr>
    <w:rPr>
      <w:rFonts w:ascii="Times New Roman" w:hAnsi="Times New Roman" w:eastAsia="黑体"/>
      <w:kern w:val="0"/>
      <w:szCs w:val="20"/>
    </w:rPr>
  </w:style>
  <w:style w:type="paragraph" w:customStyle="1" w:styleId="10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103">
    <w:name w:val="font5"/>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104">
    <w:name w:val="封面标准号"/>
    <w:next w:val="1"/>
    <w:qFormat/>
    <w:uiPriority w:val="0"/>
    <w:pPr>
      <w:spacing w:before="300" w:line="340" w:lineRule="exact"/>
      <w:ind w:right="-113"/>
      <w:jc w:val="right"/>
      <w:outlineLvl w:val="0"/>
    </w:pPr>
    <w:rPr>
      <w:rFonts w:ascii="黑体" w:hAnsi="Calibri" w:eastAsia="黑体" w:cs="Times New Roman"/>
      <w:position w:val="-2"/>
      <w:sz w:val="28"/>
      <w:lang w:val="en-US" w:eastAsia="zh-CN" w:bidi="ar-SA"/>
    </w:rPr>
  </w:style>
  <w:style w:type="paragraph" w:customStyle="1" w:styleId="105">
    <w:name w:val="封面标准名"/>
    <w:next w:val="1"/>
    <w:qFormat/>
    <w:uiPriority w:val="0"/>
    <w:pPr>
      <w:ind w:right="-113"/>
      <w:jc w:val="center"/>
      <w:outlineLvl w:val="0"/>
    </w:pPr>
    <w:rPr>
      <w:rFonts w:ascii="黑体" w:hAnsi="Calibri" w:eastAsia="黑体" w:cs="Times New Roman"/>
      <w:sz w:val="52"/>
      <w:lang w:val="en-US" w:eastAsia="zh-CN" w:bidi="ar-SA"/>
    </w:rPr>
  </w:style>
  <w:style w:type="paragraph" w:customStyle="1" w:styleId="106">
    <w:name w:val="xl81"/>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107">
    <w:name w:val="_Style 106"/>
    <w:basedOn w:val="2"/>
    <w:next w:val="1"/>
    <w:qFormat/>
    <w:uiPriority w:val="39"/>
    <w:pPr>
      <w:widowControl/>
      <w:spacing w:before="480" w:beforeLines="0" w:after="0" w:afterLines="0" w:line="276" w:lineRule="auto"/>
      <w:jc w:val="left"/>
      <w:outlineLvl w:val="9"/>
    </w:pPr>
    <w:rPr>
      <w:rFonts w:ascii="Cambria" w:hAnsi="Cambria" w:eastAsia="宋体" w:cs="Times New Roman"/>
      <w:color w:val="365F91"/>
      <w:kern w:val="0"/>
      <w:sz w:val="28"/>
      <w:szCs w:val="28"/>
    </w:rPr>
  </w:style>
  <w:style w:type="paragraph" w:customStyle="1" w:styleId="108">
    <w:name w:val=" Char Char Char Char Char Char Char Char Char Char Char Char Char"/>
    <w:basedOn w:val="1"/>
    <w:qFormat/>
    <w:uiPriority w:val="0"/>
    <w:rPr>
      <w:rFonts w:ascii="Times New Roman" w:hAnsi="Times New Roman"/>
      <w:szCs w:val="24"/>
    </w:rPr>
  </w:style>
  <w:style w:type="paragraph" w:customStyle="1" w:styleId="10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18"/>
      <w:szCs w:val="18"/>
    </w:rPr>
  </w:style>
  <w:style w:type="paragraph" w:customStyle="1" w:styleId="11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kern w:val="0"/>
      <w:sz w:val="18"/>
      <w:szCs w:val="18"/>
    </w:rPr>
  </w:style>
  <w:style w:type="paragraph" w:customStyle="1" w:styleId="111">
    <w:name w:val="样式 仿宋_GB2312 12 磅 行距: 1.5 倍行距"/>
    <w:basedOn w:val="1"/>
    <w:qFormat/>
    <w:uiPriority w:val="0"/>
    <w:pPr>
      <w:spacing w:line="360" w:lineRule="auto"/>
      <w:ind w:firstLine="480" w:firstLineChars="200"/>
    </w:pPr>
    <w:rPr>
      <w:rFonts w:ascii="仿宋_GB2312" w:hAnsi="Times New Roman" w:eastAsia="仿宋_GB2312" w:cs="宋体"/>
      <w:sz w:val="28"/>
      <w:szCs w:val="20"/>
    </w:rPr>
  </w:style>
  <w:style w:type="paragraph" w:customStyle="1" w:styleId="11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11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114">
    <w:name w:val="1"/>
    <w:basedOn w:val="1"/>
    <w:qFormat/>
    <w:uiPriority w:val="0"/>
    <w:pPr>
      <w:widowControl/>
      <w:spacing w:before="100" w:beforeAutospacing="1" w:after="100" w:afterAutospacing="1" w:line="375" w:lineRule="atLeast"/>
      <w:jc w:val="left"/>
    </w:pPr>
    <w:rPr>
      <w:rFonts w:ascii="宋体" w:hAnsi="宋体" w:cs="宋体"/>
      <w:color w:val="000000"/>
      <w:kern w:val="0"/>
      <w:sz w:val="18"/>
      <w:szCs w:val="18"/>
    </w:rPr>
  </w:style>
  <w:style w:type="paragraph" w:customStyle="1" w:styleId="115">
    <w:name w:val="xl65"/>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116">
    <w:name w:val="_Style 115"/>
    <w:semiHidden/>
    <w:qFormat/>
    <w:uiPriority w:val="99"/>
    <w:pPr>
      <w:spacing w:line="276" w:lineRule="auto"/>
      <w:jc w:val="both"/>
    </w:pPr>
    <w:rPr>
      <w:rFonts w:ascii="Calibri" w:hAnsi="Calibri" w:eastAsia="宋体" w:cs="Times New Roman"/>
      <w:kern w:val="2"/>
      <w:sz w:val="21"/>
      <w:szCs w:val="24"/>
      <w:lang w:val="en-US" w:eastAsia="zh-CN" w:bidi="ar-SA"/>
    </w:rPr>
  </w:style>
  <w:style w:type="paragraph" w:customStyle="1" w:styleId="117">
    <w:name w:val="样式1"/>
    <w:basedOn w:val="29"/>
    <w:qFormat/>
    <w:uiPriority w:val="0"/>
    <w:pPr>
      <w:numPr>
        <w:ilvl w:val="0"/>
        <w:numId w:val="5"/>
      </w:numPr>
      <w:tabs>
        <w:tab w:val="left" w:pos="845"/>
      </w:tabs>
      <w:spacing w:after="260" w:line="360" w:lineRule="auto"/>
      <w:ind w:left="856" w:hanging="856"/>
      <w:outlineLvl w:val="0"/>
    </w:pPr>
    <w:rPr>
      <w:b w:val="0"/>
      <w:bCs w:val="0"/>
      <w:sz w:val="30"/>
    </w:rPr>
  </w:style>
  <w:style w:type="paragraph" w:customStyle="1" w:styleId="118">
    <w:name w:val="Normal_10"/>
    <w:qFormat/>
    <w:uiPriority w:val="0"/>
    <w:pPr>
      <w:spacing w:before="120" w:after="240"/>
      <w:jc w:val="both"/>
    </w:pPr>
    <w:rPr>
      <w:rFonts w:ascii="Calibri" w:hAnsi="Calibri" w:eastAsia="Calibri" w:cs="Times New Roman"/>
      <w:sz w:val="22"/>
      <w:szCs w:val="22"/>
      <w:lang w:val="ru-RU" w:eastAsia="en-US" w:bidi="ar-SA"/>
    </w:rPr>
  </w:style>
  <w:style w:type="paragraph" w:customStyle="1" w:styleId="119">
    <w:name w:val="Normal_4"/>
    <w:qFormat/>
    <w:uiPriority w:val="0"/>
    <w:pPr>
      <w:spacing w:before="120" w:after="240"/>
      <w:jc w:val="both"/>
    </w:pPr>
    <w:rPr>
      <w:rFonts w:ascii="Calibri" w:hAnsi="Calibri" w:eastAsia="Calibri" w:cs="Times New Roman"/>
      <w:sz w:val="22"/>
      <w:szCs w:val="22"/>
      <w:lang w:val="ru-RU" w:eastAsia="en-US" w:bidi="ar-SA"/>
    </w:rPr>
  </w:style>
  <w:style w:type="paragraph" w:customStyle="1" w:styleId="120">
    <w:name w:val="样式6"/>
    <w:basedOn w:val="5"/>
    <w:qFormat/>
    <w:uiPriority w:val="0"/>
    <w:pPr>
      <w:numPr>
        <w:ilvl w:val="0"/>
        <w:numId w:val="0"/>
      </w:numPr>
      <w:ind w:left="851" w:hanging="851"/>
    </w:pPr>
    <w:rPr>
      <w:b/>
      <w:bCs/>
      <w:sz w:val="21"/>
    </w:rPr>
  </w:style>
  <w:style w:type="paragraph" w:customStyle="1" w:styleId="121">
    <w:name w:val="Char Char Char"/>
    <w:basedOn w:val="1"/>
    <w:qFormat/>
    <w:uiPriority w:val="0"/>
    <w:pPr>
      <w:spacing w:line="360" w:lineRule="auto"/>
      <w:jc w:val="center"/>
    </w:pPr>
    <w:rPr>
      <w:rFonts w:ascii="Times New Roman" w:hAnsi="Times New Roman"/>
      <w:szCs w:val="20"/>
    </w:rPr>
  </w:style>
  <w:style w:type="paragraph" w:customStyle="1" w:styleId="122">
    <w:name w:val="Normal_13"/>
    <w:qFormat/>
    <w:uiPriority w:val="0"/>
    <w:pPr>
      <w:spacing w:before="120" w:after="240"/>
      <w:jc w:val="both"/>
    </w:pPr>
    <w:rPr>
      <w:rFonts w:ascii="Calibri" w:hAnsi="Calibri" w:eastAsia="Calibri" w:cs="Times New Roman"/>
      <w:sz w:val="22"/>
      <w:szCs w:val="22"/>
      <w:lang w:val="ru-RU" w:eastAsia="en-US" w:bidi="ar-SA"/>
    </w:rPr>
  </w:style>
  <w:style w:type="paragraph" w:customStyle="1" w:styleId="123">
    <w:name w:val="xl87"/>
    <w:basedOn w:val="1"/>
    <w:qFormat/>
    <w:uiPriority w:val="0"/>
    <w:pPr>
      <w:widowControl/>
      <w:pBdr>
        <w:bottom w:val="single" w:color="auto" w:sz="4" w:space="0"/>
      </w:pBdr>
      <w:spacing w:before="100" w:beforeLines="0" w:beforeAutospacing="1" w:after="100" w:afterLines="0" w:afterAutospacing="1"/>
      <w:jc w:val="center"/>
    </w:pPr>
    <w:rPr>
      <w:rFonts w:ascii="宋体" w:hAnsi="宋体" w:cs="宋体"/>
      <w:b/>
      <w:bCs/>
      <w:kern w:val="0"/>
      <w:sz w:val="24"/>
      <w:szCs w:val="24"/>
    </w:rPr>
  </w:style>
  <w:style w:type="paragraph" w:customStyle="1" w:styleId="12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125">
    <w:name w:val="Char"/>
    <w:basedOn w:val="1"/>
    <w:qFormat/>
    <w:uiPriority w:val="0"/>
    <w:rPr>
      <w:rFonts w:ascii="Times New Roman" w:hAnsi="Times New Roman"/>
      <w:szCs w:val="24"/>
    </w:rPr>
  </w:style>
  <w:style w:type="paragraph" w:customStyle="1" w:styleId="1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127">
    <w:name w:val="封面标准头"/>
    <w:next w:val="104"/>
    <w:qFormat/>
    <w:uiPriority w:val="0"/>
    <w:pPr>
      <w:ind w:left="113" w:right="-284"/>
      <w:jc w:val="center"/>
    </w:pPr>
    <w:rPr>
      <w:rFonts w:ascii="黑体" w:hAnsi="Calibri" w:eastAsia="黑体" w:cs="Times New Roman"/>
      <w:spacing w:val="40"/>
      <w:position w:val="-8"/>
      <w:sz w:val="52"/>
      <w:lang w:val="en-US" w:eastAsia="zh-CN" w:bidi="ar-SA"/>
    </w:rPr>
  </w:style>
  <w:style w:type="paragraph" w:customStyle="1" w:styleId="128">
    <w:name w:val="Normal_14"/>
    <w:qFormat/>
    <w:uiPriority w:val="0"/>
    <w:pPr>
      <w:spacing w:before="120" w:after="240"/>
      <w:jc w:val="both"/>
    </w:pPr>
    <w:rPr>
      <w:rFonts w:ascii="Calibri" w:hAnsi="Calibri" w:eastAsia="Calibri" w:cs="Times New Roman"/>
      <w:sz w:val="22"/>
      <w:szCs w:val="22"/>
      <w:lang w:val="ru-RU" w:eastAsia="en-US" w:bidi="ar-SA"/>
    </w:rPr>
  </w:style>
  <w:style w:type="paragraph" w:customStyle="1" w:styleId="12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kern w:val="0"/>
      <w:sz w:val="18"/>
      <w:szCs w:val="18"/>
    </w:rPr>
  </w:style>
  <w:style w:type="paragraph" w:customStyle="1" w:styleId="13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131">
    <w:name w:val="Char Char Char1 Char"/>
    <w:basedOn w:val="1"/>
    <w:qFormat/>
    <w:uiPriority w:val="0"/>
    <w:pPr>
      <w:widowControl/>
      <w:spacing w:after="160" w:afterLines="0" w:line="240" w:lineRule="exact"/>
      <w:jc w:val="left"/>
    </w:pPr>
    <w:rPr>
      <w:rFonts w:ascii="Verdana" w:hAnsi="Verdana" w:cs="Verdana"/>
      <w:kern w:val="0"/>
      <w:sz w:val="20"/>
      <w:szCs w:val="20"/>
      <w:lang w:eastAsia="en-US"/>
    </w:rPr>
  </w:style>
  <w:style w:type="paragraph" w:customStyle="1" w:styleId="132">
    <w:name w:val="样式 样式 标题 4 + 仿宋_GB2312 + 左侧:  0 厘米 首行缩进:  0 厘米 行距: 1.5 倍行距"/>
    <w:basedOn w:val="133"/>
    <w:qFormat/>
    <w:uiPriority w:val="0"/>
    <w:pPr>
      <w:numPr>
        <w:ilvl w:val="3"/>
        <w:numId w:val="6"/>
      </w:numPr>
      <w:spacing w:line="360" w:lineRule="auto"/>
    </w:pPr>
    <w:rPr>
      <w:rFonts w:cs="宋体"/>
      <w:szCs w:val="20"/>
    </w:rPr>
  </w:style>
  <w:style w:type="paragraph" w:customStyle="1" w:styleId="133">
    <w:name w:val="样式 标题 4 + 仿宋_GB2312"/>
    <w:basedOn w:val="5"/>
    <w:qFormat/>
    <w:uiPriority w:val="0"/>
    <w:pPr>
      <w:numPr>
        <w:ilvl w:val="0"/>
        <w:numId w:val="0"/>
      </w:numPr>
      <w:spacing w:before="0" w:beforeLines="0" w:after="0" w:afterLines="0" w:line="376" w:lineRule="auto"/>
      <w:ind w:left="864" w:hanging="864"/>
    </w:pPr>
    <w:rPr>
      <w:rFonts w:ascii="仿宋_GB2312" w:hAnsi="仿宋_GB2312" w:eastAsia="仿宋_GB2312"/>
      <w:szCs w:val="24"/>
    </w:rPr>
  </w:style>
  <w:style w:type="paragraph" w:customStyle="1" w:styleId="13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kern w:val="0"/>
      <w:sz w:val="18"/>
      <w:szCs w:val="18"/>
    </w:rPr>
  </w:style>
  <w:style w:type="paragraph" w:customStyle="1" w:styleId="13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136">
    <w:name w:val="Normal_22"/>
    <w:qFormat/>
    <w:uiPriority w:val="0"/>
    <w:pPr>
      <w:spacing w:before="120" w:after="240"/>
      <w:jc w:val="both"/>
    </w:pPr>
    <w:rPr>
      <w:rFonts w:ascii="Calibri" w:hAnsi="Calibri" w:eastAsia="Calibri" w:cs="Times New Roman"/>
      <w:sz w:val="22"/>
      <w:szCs w:val="22"/>
      <w:lang w:val="ru-RU" w:eastAsia="en-US" w:bidi="ar-SA"/>
    </w:rPr>
  </w:style>
  <w:style w:type="paragraph" w:customStyle="1" w:styleId="137">
    <w:name w:val="Normal_18"/>
    <w:qFormat/>
    <w:uiPriority w:val="0"/>
    <w:pPr>
      <w:spacing w:before="120" w:after="240"/>
      <w:jc w:val="both"/>
    </w:pPr>
    <w:rPr>
      <w:rFonts w:ascii="Calibri" w:hAnsi="Calibri" w:eastAsia="Calibri" w:cs="Times New Roman"/>
      <w:sz w:val="22"/>
      <w:szCs w:val="22"/>
      <w:lang w:val="ru-RU" w:eastAsia="en-US" w:bidi="ar-SA"/>
    </w:rPr>
  </w:style>
  <w:style w:type="paragraph" w:customStyle="1" w:styleId="138">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139">
    <w:name w:val="附加说明"/>
    <w:basedOn w:val="1"/>
    <w:qFormat/>
    <w:uiPriority w:val="0"/>
    <w:pPr>
      <w:spacing w:line="300" w:lineRule="auto"/>
      <w:ind w:left="1871"/>
      <w:jc w:val="left"/>
    </w:pPr>
    <w:rPr>
      <w:rFonts w:ascii="Times New Roman" w:hAnsi="Times New Roman"/>
      <w:kern w:val="0"/>
      <w:szCs w:val="20"/>
    </w:rPr>
  </w:style>
  <w:style w:type="paragraph" w:customStyle="1" w:styleId="140">
    <w:name w:val="样式2"/>
    <w:basedOn w:val="1"/>
    <w:qFormat/>
    <w:uiPriority w:val="0"/>
    <w:pPr>
      <w:autoSpaceDE w:val="0"/>
      <w:autoSpaceDN w:val="0"/>
      <w:adjustRightInd w:val="0"/>
      <w:snapToGrid w:val="0"/>
      <w:spacing w:line="460" w:lineRule="exact"/>
      <w:textAlignment w:val="baseline"/>
    </w:pPr>
    <w:rPr>
      <w:b/>
      <w:snapToGrid w:val="0"/>
      <w:kern w:val="0"/>
      <w:sz w:val="28"/>
      <w:szCs w:val="20"/>
    </w:rPr>
  </w:style>
  <w:style w:type="paragraph" w:customStyle="1" w:styleId="14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14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143">
    <w:name w:val="标题4"/>
    <w:basedOn w:val="1"/>
    <w:qFormat/>
    <w:uiPriority w:val="0"/>
    <w:pPr>
      <w:jc w:val="center"/>
    </w:pPr>
    <w:rPr>
      <w:rFonts w:ascii="Times New Roman" w:hAnsi="Times New Roman"/>
      <w:sz w:val="32"/>
      <w:szCs w:val="24"/>
    </w:rPr>
  </w:style>
  <w:style w:type="paragraph" w:styleId="144">
    <w:name w:val="List Paragraph"/>
    <w:basedOn w:val="1"/>
    <w:qFormat/>
    <w:uiPriority w:val="34"/>
    <w:pPr>
      <w:ind w:firstLine="420" w:firstLineChars="200"/>
    </w:pPr>
    <w:rPr>
      <w:rFonts w:ascii="Times New Roman" w:hAnsi="Times New Roman" w:eastAsia="宋体" w:cs="Times New Roman"/>
      <w:szCs w:val="24"/>
    </w:rPr>
  </w:style>
  <w:style w:type="paragraph" w:customStyle="1" w:styleId="145">
    <w:name w:val="font6"/>
    <w:basedOn w:val="1"/>
    <w:qFormat/>
    <w:uiPriority w:val="0"/>
    <w:pPr>
      <w:widowControl/>
      <w:spacing w:before="100" w:beforeLines="0" w:beforeAutospacing="1" w:after="100" w:afterLines="0" w:afterAutospacing="1"/>
      <w:jc w:val="left"/>
    </w:pPr>
    <w:rPr>
      <w:rFonts w:ascii="宋体" w:hAnsi="宋体" w:cs="宋体"/>
      <w:color w:val="000000"/>
      <w:kern w:val="0"/>
      <w:sz w:val="18"/>
      <w:szCs w:val="18"/>
    </w:rPr>
  </w:style>
  <w:style w:type="paragraph" w:customStyle="1" w:styleId="146">
    <w:name w:val="段"/>
    <w:next w:val="1"/>
    <w:qFormat/>
    <w:uiPriority w:val="0"/>
    <w:pPr>
      <w:autoSpaceDE w:val="0"/>
      <w:autoSpaceDN w:val="0"/>
      <w:spacing w:line="276" w:lineRule="auto"/>
      <w:ind w:firstLine="200" w:firstLineChars="200"/>
      <w:jc w:val="both"/>
    </w:pPr>
    <w:rPr>
      <w:rFonts w:ascii="宋体" w:hAnsi="Calibri" w:eastAsia="宋体" w:cs="Times New Roman"/>
      <w:sz w:val="21"/>
      <w:lang w:val="en-US" w:eastAsia="zh-CN" w:bidi="ar-SA"/>
    </w:rPr>
  </w:style>
  <w:style w:type="paragraph" w:customStyle="1" w:styleId="147">
    <w:name w:val="Normal_9"/>
    <w:qFormat/>
    <w:uiPriority w:val="0"/>
    <w:pPr>
      <w:spacing w:before="120" w:after="240"/>
      <w:jc w:val="both"/>
    </w:pPr>
    <w:rPr>
      <w:rFonts w:ascii="Calibri" w:hAnsi="Calibri" w:eastAsia="Calibri" w:cs="Times New Roman"/>
      <w:sz w:val="22"/>
      <w:szCs w:val="22"/>
      <w:lang w:val="ru-RU" w:eastAsia="en-US" w:bidi="ar-SA"/>
    </w:rPr>
  </w:style>
  <w:style w:type="paragraph" w:customStyle="1" w:styleId="14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149">
    <w:name w:val="节标签"/>
    <w:basedOn w:val="1"/>
    <w:next w:val="16"/>
    <w:qFormat/>
    <w:uiPriority w:val="0"/>
    <w:pPr>
      <w:keepNext/>
      <w:keepLines/>
      <w:pageBreakBefore/>
      <w:widowControl/>
      <w:tabs>
        <w:tab w:val="right" w:pos="8640"/>
      </w:tabs>
      <w:spacing w:after="700" w:line="360" w:lineRule="auto"/>
      <w:jc w:val="center"/>
    </w:pPr>
    <w:rPr>
      <w:rFonts w:ascii="Garamond" w:hAnsi="Garamond" w:eastAsia="黑体"/>
      <w:b/>
      <w:caps/>
      <w:spacing w:val="10"/>
      <w:kern w:val="28"/>
      <w:sz w:val="28"/>
      <w:szCs w:val="20"/>
      <w:lang w:bidi="he-IL"/>
    </w:rPr>
  </w:style>
  <w:style w:type="paragraph" w:customStyle="1" w:styleId="150">
    <w:name w:val="Default"/>
    <w:qFormat/>
    <w:uiPriority w:val="0"/>
    <w:pPr>
      <w:widowControl w:val="0"/>
      <w:autoSpaceDE w:val="0"/>
      <w:autoSpaceDN w:val="0"/>
      <w:adjustRightInd w:val="0"/>
      <w:spacing w:line="276" w:lineRule="auto"/>
      <w:jc w:val="both"/>
    </w:pPr>
    <w:rPr>
      <w:rFonts w:ascii="宋体" w:hAnsi="Calibri" w:eastAsia="宋体" w:cs="宋体"/>
      <w:color w:val="000000"/>
      <w:sz w:val="24"/>
      <w:szCs w:val="24"/>
      <w:lang w:val="en-US" w:eastAsia="zh-CN" w:bidi="ar-SA"/>
    </w:rPr>
  </w:style>
  <w:style w:type="paragraph" w:customStyle="1" w:styleId="151">
    <w:name w:val="Normal_12"/>
    <w:qFormat/>
    <w:uiPriority w:val="0"/>
    <w:pPr>
      <w:spacing w:before="120" w:after="240"/>
      <w:jc w:val="both"/>
    </w:pPr>
    <w:rPr>
      <w:rFonts w:ascii="Calibri" w:hAnsi="Calibri" w:eastAsia="Calibri" w:cs="Times New Roman"/>
      <w:sz w:val="22"/>
      <w:szCs w:val="22"/>
      <w:lang w:val="ru-RU" w:eastAsia="en-US" w:bidi="ar-SA"/>
    </w:rPr>
  </w:style>
  <w:style w:type="paragraph" w:customStyle="1" w:styleId="152">
    <w:name w:val="Normal_11"/>
    <w:qFormat/>
    <w:uiPriority w:val="0"/>
    <w:pPr>
      <w:spacing w:before="120" w:after="240"/>
      <w:jc w:val="both"/>
    </w:pPr>
    <w:rPr>
      <w:rFonts w:ascii="Calibri" w:hAnsi="Calibri" w:eastAsia="Calibri" w:cs="Times New Roman"/>
      <w:sz w:val="22"/>
      <w:szCs w:val="22"/>
      <w:lang w:val="ru-RU" w:eastAsia="en-US" w:bidi="ar-SA"/>
    </w:rPr>
  </w:style>
  <w:style w:type="paragraph" w:customStyle="1" w:styleId="153">
    <w:name w:val="样式 标题 3 + 仿宋_GB2312"/>
    <w:basedOn w:val="4"/>
    <w:qFormat/>
    <w:uiPriority w:val="0"/>
    <w:pPr>
      <w:ind w:left="1146" w:hanging="720"/>
    </w:pPr>
    <w:rPr>
      <w:rFonts w:hAnsi="仿宋_GB2312"/>
    </w:rPr>
  </w:style>
  <w:style w:type="paragraph" w:customStyle="1" w:styleId="15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w:hAnsi="Arial" w:cs="Arial"/>
      <w:kern w:val="0"/>
      <w:sz w:val="18"/>
      <w:szCs w:val="18"/>
    </w:rPr>
  </w:style>
  <w:style w:type="paragraph" w:customStyle="1" w:styleId="155">
    <w:name w:val="Normal_16"/>
    <w:qFormat/>
    <w:uiPriority w:val="0"/>
    <w:pPr>
      <w:spacing w:before="120" w:after="240"/>
      <w:jc w:val="both"/>
    </w:pPr>
    <w:rPr>
      <w:rFonts w:ascii="Calibri" w:hAnsi="Calibri" w:eastAsia="Calibri" w:cs="Times New Roman"/>
      <w:sz w:val="22"/>
      <w:szCs w:val="22"/>
      <w:lang w:val="ru-RU" w:eastAsia="en-US" w:bidi="ar-SA"/>
    </w:rPr>
  </w:style>
  <w:style w:type="paragraph" w:customStyle="1" w:styleId="156">
    <w:name w:val="HEAD_FOOT"/>
    <w:basedOn w:val="1"/>
    <w:qFormat/>
    <w:uiPriority w:val="0"/>
    <w:pPr>
      <w:widowControl/>
      <w:autoSpaceDE w:val="0"/>
      <w:autoSpaceDN w:val="0"/>
      <w:adjustRightInd w:val="0"/>
      <w:jc w:val="left"/>
    </w:pPr>
    <w:rPr>
      <w:rFonts w:ascii="Arial" w:hAnsi="Arial" w:cs="Arial"/>
      <w:kern w:val="0"/>
      <w:sz w:val="18"/>
      <w:szCs w:val="18"/>
      <w:lang w:val="zh-CN"/>
    </w:rPr>
  </w:style>
  <w:style w:type="paragraph" w:customStyle="1" w:styleId="157">
    <w:name w:val="标准文件_段"/>
    <w:qFormat/>
    <w:uiPriority w:val="0"/>
    <w:pPr>
      <w:autoSpaceDE w:val="0"/>
      <w:autoSpaceDN w:val="0"/>
      <w:adjustRightInd w:val="0"/>
      <w:snapToGrid w:val="0"/>
      <w:spacing w:line="500" w:lineRule="exact"/>
      <w:ind w:right="-105" w:rightChars="-50" w:firstLine="488"/>
      <w:jc w:val="both"/>
    </w:pPr>
    <w:rPr>
      <w:rFonts w:ascii="Calibri" w:hAnsi="Calibri" w:eastAsia="宋体" w:cs="Times New Roman"/>
      <w:b/>
      <w:color w:val="0070C0"/>
      <w:spacing w:val="2"/>
      <w:sz w:val="24"/>
      <w:szCs w:val="24"/>
      <w:lang w:val="en-US" w:eastAsia="zh-CN" w:bidi="ar-SA"/>
    </w:rPr>
  </w:style>
  <w:style w:type="paragraph" w:customStyle="1" w:styleId="15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18"/>
      <w:szCs w:val="18"/>
    </w:rPr>
  </w:style>
  <w:style w:type="paragraph" w:customStyle="1" w:styleId="15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160">
    <w:name w:val=" Char Char Char Char Char Char1 Char"/>
    <w:basedOn w:val="1"/>
    <w:qFormat/>
    <w:uiPriority w:val="0"/>
    <w:pPr>
      <w:autoSpaceDE w:val="0"/>
      <w:autoSpaceDN w:val="0"/>
      <w:adjustRightInd w:val="0"/>
      <w:spacing w:line="360" w:lineRule="auto"/>
      <w:ind w:left="-449" w:leftChars="-187" w:firstLine="480" w:firstLineChars="200"/>
    </w:pPr>
    <w:rPr>
      <w:rFonts w:ascii="Times New Roman" w:hAnsi="Times New Roman"/>
      <w:kern w:val="24"/>
      <w:sz w:val="24"/>
      <w:szCs w:val="21"/>
    </w:rPr>
  </w:style>
  <w:style w:type="paragraph" w:customStyle="1" w:styleId="161">
    <w:name w:val="样式 仿宋_GB2312 小四 行距: 1.5 倍行距"/>
    <w:basedOn w:val="1"/>
    <w:qFormat/>
    <w:uiPriority w:val="0"/>
    <w:pPr>
      <w:spacing w:line="360" w:lineRule="auto"/>
    </w:pPr>
    <w:rPr>
      <w:rFonts w:ascii="仿宋_GB2312" w:hAnsi="Times New Roman" w:eastAsia="仿宋_GB2312" w:cs="宋体"/>
      <w:sz w:val="28"/>
      <w:szCs w:val="20"/>
    </w:rPr>
  </w:style>
  <w:style w:type="paragraph" w:customStyle="1" w:styleId="16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163">
    <w:name w:val="字母编号列项"/>
    <w:qFormat/>
    <w:uiPriority w:val="0"/>
    <w:pPr>
      <w:spacing w:line="276" w:lineRule="auto"/>
      <w:ind w:left="840" w:leftChars="200" w:hanging="420" w:hangingChars="200"/>
      <w:jc w:val="both"/>
    </w:pPr>
    <w:rPr>
      <w:rFonts w:ascii="宋体" w:hAnsi="Calibri" w:eastAsia="宋体" w:cs="Times New Roman"/>
      <w:sz w:val="21"/>
      <w:lang w:val="en-US" w:eastAsia="zh-CN" w:bidi="ar-SA"/>
    </w:rPr>
  </w:style>
  <w:style w:type="paragraph" w:customStyle="1" w:styleId="164">
    <w:name w:val="Decimal Aligned"/>
    <w:basedOn w:val="1"/>
    <w:qFormat/>
    <w:uiPriority w:val="0"/>
    <w:pPr>
      <w:widowControl/>
      <w:tabs>
        <w:tab w:val="decimal" w:pos="360"/>
      </w:tabs>
      <w:spacing w:after="200" w:afterLines="0" w:line="276" w:lineRule="auto"/>
      <w:jc w:val="left"/>
    </w:pPr>
    <w:rPr>
      <w:kern w:val="0"/>
      <w:sz w:val="22"/>
    </w:rPr>
  </w:style>
  <w:style w:type="paragraph" w:customStyle="1" w:styleId="165">
    <w:name w:val=" Char"/>
    <w:basedOn w:val="1"/>
    <w:qFormat/>
    <w:uiPriority w:val="0"/>
    <w:rPr>
      <w:rFonts w:ascii="Times New Roman" w:hAnsi="Times New Roman"/>
      <w:szCs w:val="24"/>
    </w:rPr>
  </w:style>
  <w:style w:type="paragraph" w:customStyle="1" w:styleId="166">
    <w:name w:val="Normal_15"/>
    <w:qFormat/>
    <w:uiPriority w:val="0"/>
    <w:pPr>
      <w:spacing w:before="120" w:after="240"/>
      <w:jc w:val="both"/>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64</Pages>
  <Words>1709</Words>
  <Characters>2451</Characters>
  <Lines>355</Lines>
  <Paragraphs>99</Paragraphs>
  <TotalTime>1</TotalTime>
  <ScaleCrop>false</ScaleCrop>
  <LinksUpToDate>false</LinksUpToDate>
  <CharactersWithSpaces>2712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2018-05-22T01:50:00Z</dcterms:created>
  <dc:creator>向南</dc:creator>
  <cp:lastModifiedBy>ironhide</cp:lastModifiedBy>
  <cp:lastPrinted>2023-02-17T06:01:00Z</cp:lastPrinted>
  <dcterms:modified xsi:type="dcterms:W3CDTF">2025-12-08T02:05:47Z</dcterms:modified>
  <dc:subject>内控手册</dc:subject>
  <dc:title>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7F982FE8BAB8448A9CEDB520F25F20AC_13</vt:lpwstr>
  </property>
  <property fmtid="{D5CDD505-2E9C-101B-9397-08002B2CF9AE}" pid="4" name="KSOTemplateDocerSaveRecord">
    <vt:lpwstr>eyJoZGlkIjoiOTEyZGFlYzJhMjM5ZWQwZWRjNTQ0MGIwMDliYmM4MTQiLCJ1c2VySWQiOiI0MjgwNjE3NDYifQ==</vt:lpwstr>
  </property>
</Properties>
</file>