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A0613">
      <w:pPr>
        <w:jc w:val="center"/>
        <w:rPr>
          <w:rFonts w:ascii="黑体" w:eastAsia="黑体"/>
          <w:spacing w:val="-26"/>
          <w:sz w:val="44"/>
          <w:szCs w:val="44"/>
        </w:rPr>
      </w:pPr>
      <w:r>
        <w:rPr>
          <w:rFonts w:hint="eastAsia" w:ascii="黑体" w:eastAsia="黑体"/>
          <w:spacing w:val="-26"/>
          <w:sz w:val="44"/>
          <w:szCs w:val="44"/>
        </w:rPr>
        <w:t>公司体系管理文件</w:t>
      </w:r>
    </w:p>
    <w:p w14:paraId="6D677871">
      <w:pPr>
        <w:jc w:val="center"/>
        <w:rPr>
          <w:rFonts w:ascii="黑体" w:eastAsia="黑体"/>
        </w:rPr>
      </w:pPr>
    </w:p>
    <w:p w14:paraId="3EE682EF">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99200" behindDoc="0" locked="0" layoutInCell="1" allowOverlap="1">
                <wp:simplePos x="0" y="0"/>
                <wp:positionH relativeFrom="column">
                  <wp:posOffset>-47625</wp:posOffset>
                </wp:positionH>
                <wp:positionV relativeFrom="paragraph">
                  <wp:posOffset>344170</wp:posOffset>
                </wp:positionV>
                <wp:extent cx="5934075" cy="0"/>
                <wp:effectExtent l="0" t="9525" r="9525" b="13335"/>
                <wp:wrapNone/>
                <wp:docPr id="66"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99200;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nO9zueMBAADkAwAADgAAAGRycy9lMm9Eb2MueG1srVNNj9Mw&#10;EL0j8R8s32nSXVrYqOkKtSwXBJWAHzC1ncSSv+Rxm/bfM3a6XVguPZCDM7Zn3sx7M149nqxhRxVR&#10;e9fy+azmTDnhpXZ9y3/9fHr3kTNM4CQY71TLzwr54/rtm9UYGnXnB2+kioxAHDZjaPmQUmiqCsWg&#10;LODMB+XosvPRQqJt7CsZYSR0a6q7ul5Wo48yRC8UIp1up0t+QYy3APqu00JtvThY5dKEGpWBRJRw&#10;0AH5ulTbdUqk712HKjHTcmKaykpJyN7ntVqvoOkjhEGLSwlwSwmvOFnQjpJeobaQgB2i/gfKahE9&#10;+i7NhLfVRKQoQizm9SttfgwQVOFCUmO4io7/D1Z8O+4i07LlyyVnDix1/NMh+ZKa3S8eskJjwIYc&#10;N24XLzsMu5jpnrpo85+IsFNR9XxVVZ0SE3S4eLh/X39YcCae76qXwBAxfVHesmy0HFME3Q9p452j&#10;3vk4L6rC8SsmSk2BzwE5q3FspBF+qBfUTgE0jB0NAZk2ECF0fQlGb7R80sbkEIz9fmMiO0IeiPJl&#10;hgT8l1vOsgUcJr9yNY3KoEB+dpKlcyClHL0QnmuwSnJmFD2obBEgNAm0ucWTUhtHFWSRJ1mztffy&#10;XNQu59T8UuNlUPN0/bkv0S+Pc/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sF49UAAAAIAQAA&#10;DwAAAAAAAAABACAAAAAiAAAAZHJzL2Rvd25yZXYueG1sUEsBAhQAFAAAAAgAh07iQJzvc7njAQAA&#10;5AMAAA4AAAAAAAAAAQAgAAAAJAEAAGRycy9lMm9Eb2MueG1sUEsFBgAAAAAGAAYAWQEAAHkFAAAA&#10;AA==&#10;">
                <v:fill on="f" focussize="0,0"/>
                <v:stroke weight="1.5pt" color="#000000" joinstyle="round"/>
                <v:imagedata o:title=""/>
                <o:lock v:ext="edit" aspectratio="f"/>
              </v:shape>
            </w:pict>
          </mc:Fallback>
        </mc:AlternateContent>
      </w:r>
      <w:r>
        <w:rPr>
          <w:rFonts w:hint="eastAsia" w:ascii="宋体"/>
          <w:b/>
          <w:szCs w:val="28"/>
        </w:rPr>
        <w:t>编号:</w:t>
      </w:r>
      <w:bookmarkStart w:id="0" w:name="OLE_LINK1"/>
      <w:r>
        <w:rPr>
          <w:rFonts w:hint="eastAsia"/>
        </w:rPr>
        <w:t xml:space="preserve"> </w:t>
      </w:r>
      <w:r>
        <w:rPr>
          <w:rFonts w:hint="eastAsia" w:ascii="宋体"/>
          <w:b/>
          <w:szCs w:val="28"/>
        </w:rPr>
        <w:t>HY-QMS-202</w:t>
      </w:r>
      <w:r>
        <w:rPr>
          <w:rFonts w:hint="eastAsia" w:ascii="宋体"/>
          <w:b/>
          <w:szCs w:val="28"/>
          <w:lang w:val="en-US" w:eastAsia="zh-CN"/>
        </w:rPr>
        <w:t>5-2</w:t>
      </w:r>
    </w:p>
    <w:bookmarkEnd w:id="0"/>
    <w:p w14:paraId="66719100">
      <w:pPr>
        <w:adjustRightInd w:val="0"/>
        <w:snapToGrid w:val="0"/>
        <w:rPr>
          <w:rFonts w:cs="Times New Roman"/>
          <w:b/>
          <w:kern w:val="2"/>
          <w:szCs w:val="28"/>
        </w:rPr>
      </w:pPr>
      <w:r>
        <w:rPr>
          <w:rFonts w:hint="eastAsia" w:cs="Times New Roman"/>
          <w:b/>
          <w:kern w:val="2"/>
          <w:szCs w:val="28"/>
        </w:rPr>
        <w:t>发 放 号:</w:t>
      </w:r>
    </w:p>
    <w:p w14:paraId="53B1BB57">
      <w:pPr>
        <w:rPr>
          <w:rFonts w:ascii="Calibri" w:hAnsi="Calibri"/>
        </w:rPr>
      </w:pPr>
    </w:p>
    <w:p w14:paraId="225DF2CF">
      <w:pPr>
        <w:jc w:val="center"/>
        <w:rPr>
          <w:rFonts w:ascii="宋体" w:hAnsi="宋体"/>
          <w:sz w:val="48"/>
          <w:szCs w:val="48"/>
        </w:rPr>
      </w:pPr>
    </w:p>
    <w:p w14:paraId="2719231D">
      <w:pPr>
        <w:widowControl/>
        <w:jc w:val="center"/>
        <w:rPr>
          <w:rFonts w:ascii="宋体" w:hAnsi="宋体"/>
        </w:rPr>
      </w:pPr>
      <w:r>
        <w:rPr>
          <w:rFonts w:hint="eastAsia" w:ascii="黑体" w:eastAsia="黑体"/>
          <w:sz w:val="72"/>
          <w:szCs w:val="72"/>
        </w:rPr>
        <w:t>质  量  手  册</w:t>
      </w:r>
    </w:p>
    <w:p w14:paraId="6C1BA4DF">
      <w:pPr>
        <w:widowControl/>
        <w:jc w:val="center"/>
        <w:rPr>
          <w:rFonts w:ascii="宋体" w:hAnsi="宋体"/>
        </w:rPr>
      </w:pPr>
    </w:p>
    <w:p w14:paraId="094A924B">
      <w:pPr>
        <w:ind w:firstLine="2125" w:firstLineChars="756"/>
        <w:rPr>
          <w:rFonts w:cs="Times New Roman"/>
          <w:b/>
          <w:kern w:val="2"/>
          <w:szCs w:val="28"/>
        </w:rPr>
      </w:pPr>
    </w:p>
    <w:p w14:paraId="10CDD5B0">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r>
        <w:rPr>
          <w:rFonts w:hint="eastAsia" w:cs="Times New Roman"/>
          <w:b/>
          <w:kern w:val="2"/>
          <w:szCs w:val="28"/>
          <w:lang w:val="en-US" w:eastAsia="zh-CN"/>
        </w:rPr>
        <w:t>B</w:t>
      </w:r>
    </w:p>
    <w:p w14:paraId="0CA39528">
      <w:pPr>
        <w:ind w:firstLine="2125" w:firstLineChars="756"/>
        <w:rPr>
          <w:rFonts w:cs="Times New Roman"/>
          <w:b/>
          <w:kern w:val="2"/>
          <w:szCs w:val="28"/>
        </w:rPr>
      </w:pPr>
      <w:r>
        <w:rPr>
          <w:rFonts w:hint="eastAsia" w:cs="Times New Roman"/>
          <w:b/>
          <w:kern w:val="2"/>
          <w:szCs w:val="28"/>
        </w:rPr>
        <w:t xml:space="preserve">         </w:t>
      </w:r>
    </w:p>
    <w:p w14:paraId="1D48C688">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5B9DFB3D">
      <w:pPr>
        <w:adjustRightInd w:val="0"/>
        <w:snapToGrid w:val="0"/>
        <w:ind w:firstLine="2125" w:firstLineChars="756"/>
        <w:rPr>
          <w:rFonts w:cs="Times New Roman"/>
          <w:b/>
          <w:kern w:val="2"/>
          <w:szCs w:val="28"/>
        </w:rPr>
      </w:pPr>
      <w:r>
        <w:rPr>
          <w:rFonts w:hint="eastAsia" w:cs="Times New Roman"/>
          <w:b/>
          <w:kern w:val="2"/>
          <w:szCs w:val="28"/>
        </w:rPr>
        <w:t xml:space="preserve">               </w:t>
      </w:r>
    </w:p>
    <w:p w14:paraId="33E2AF9C">
      <w:pPr>
        <w:widowControl/>
        <w:ind w:firstLine="2684" w:firstLineChars="955"/>
        <w:jc w:val="left"/>
      </w:pPr>
      <w:r>
        <w:rPr>
          <w:rFonts w:hint="eastAsia" w:cs="Times New Roman"/>
          <w:b/>
          <w:kern w:val="2"/>
          <w:szCs w:val="28"/>
        </w:rPr>
        <w:t xml:space="preserve">       </w:t>
      </w:r>
    </w:p>
    <w:p w14:paraId="6216E033">
      <w:pPr>
        <w:widowControl/>
        <w:jc w:val="center"/>
        <w:rPr>
          <w:rFonts w:ascii="黑体" w:eastAsia="黑体"/>
          <w:sz w:val="32"/>
          <w:szCs w:val="32"/>
        </w:rPr>
      </w:pPr>
    </w:p>
    <w:p w14:paraId="4DFC6F8B">
      <w:pPr>
        <w:widowControl/>
        <w:jc w:val="center"/>
        <w:rPr>
          <w:rFonts w:ascii="黑体" w:eastAsia="黑体"/>
          <w:sz w:val="32"/>
          <w:szCs w:val="32"/>
        </w:rPr>
      </w:pPr>
    </w:p>
    <w:p w14:paraId="5765CD3B">
      <w:pPr>
        <w:widowControl/>
        <w:jc w:val="center"/>
        <w:rPr>
          <w:rFonts w:ascii="黑体" w:eastAsia="黑体"/>
          <w:sz w:val="32"/>
          <w:szCs w:val="32"/>
        </w:rPr>
      </w:pPr>
    </w:p>
    <w:p w14:paraId="6F2E4072">
      <w:pPr>
        <w:widowControl/>
        <w:jc w:val="center"/>
        <w:rPr>
          <w:rFonts w:ascii="黑体" w:eastAsia="黑体"/>
          <w:sz w:val="32"/>
          <w:szCs w:val="32"/>
        </w:rPr>
      </w:pPr>
    </w:p>
    <w:p w14:paraId="1173FF45">
      <w:pPr>
        <w:widowControl/>
        <w:jc w:val="center"/>
        <w:rPr>
          <w:rFonts w:ascii="黑体" w:eastAsia="黑体"/>
          <w:sz w:val="32"/>
          <w:szCs w:val="32"/>
        </w:rPr>
      </w:pPr>
    </w:p>
    <w:p w14:paraId="618BBBE1">
      <w:pPr>
        <w:widowControl/>
        <w:jc w:val="center"/>
        <w:rPr>
          <w:rFonts w:ascii="黑体" w:eastAsia="黑体"/>
          <w:sz w:val="32"/>
          <w:szCs w:val="32"/>
        </w:rPr>
      </w:pPr>
    </w:p>
    <w:p w14:paraId="35702356">
      <w:pPr>
        <w:widowControl/>
        <w:jc w:val="center"/>
        <w:rPr>
          <w:rFonts w:ascii="黑体" w:eastAsia="黑体"/>
          <w:sz w:val="32"/>
          <w:szCs w:val="32"/>
        </w:rPr>
      </w:pPr>
    </w:p>
    <w:p w14:paraId="67ADE514">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700224" behindDoc="0" locked="0" layoutInCell="1" allowOverlap="1">
                <wp:simplePos x="0" y="0"/>
                <wp:positionH relativeFrom="column">
                  <wp:posOffset>-66675</wp:posOffset>
                </wp:positionH>
                <wp:positionV relativeFrom="paragraph">
                  <wp:posOffset>226060</wp:posOffset>
                </wp:positionV>
                <wp:extent cx="5934075" cy="0"/>
                <wp:effectExtent l="0" t="9525" r="9525" b="13335"/>
                <wp:wrapNone/>
                <wp:docPr id="67"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700224;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wkgaKeIBAADkAwAADgAAAGRycy9lMm9Eb2MueG1srVNNj9ow&#10;EL1X6n+wfC8Ju4XtRoRVBd1eqhZp2x9gbCex5C/NGAL/vmPDQru9cGgOzvhj3sx7fl48HZxlew1o&#10;gm/5dFJzpr0Myvi+5b9+Pn/4xBkm4ZWwweuWHzXyp+X7d4sxNvouDMEqDYxAPDZjbPmQUmyqCuWg&#10;ncBJiNrTZhfAiURT6CsFYiR0Z6u7up5XYwAVIUiNSKvr0yY/I8ItgKHrjNTrIHdO+3RCBW1FIko4&#10;mIh8WbrtOi3Tj65DnZhtOTFNZaQiFG/zWC0XoulBxMHIcwvilhbecHLCeCp6gVqLJNgOzD9QzkgI&#10;GLo0kcFVJyJFEWIxrd9o8zKIqAsXkhrjRXT8f7Dy+34DzKiWzx8488LRjX/epVBKs/t5UWiM2NDB&#10;ld8A6ZVnGDeQ6R46cPlPRNihqHq8qKoPiUlanD3ef6wfZpzJ173qmhgB01cdHMtByzGBMP2QVsF7&#10;ursA06Kq2H/DRKUp8TUhV7WejWThx3pG1ykFmbEjE1DoIhFC35dkDNaoZ2NtTkHotysLbC+yIcqX&#10;PUDAfx3LVdYCh9O5snWyyqCF+uIVS8dISnl6ITz34LTizGp6UDkqpkrC2FtOUmnrqYOrrDnaBnUs&#10;apd1uvzS49mo2V1/zkv29XE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z6x761QAAAAkBAAAP&#10;AAAAAAAAAAEAIAAAACIAAABkcnMvZG93bnJldi54bWxQSwECFAAUAAAACACHTuJAwkgaKeIBAADk&#10;AwAADgAAAAAAAAABACAAAAAkAQAAZHJzL2Uyb0RvYy54bWxQSwUGAAAAAAYABgBZAQAAeAUAAAAA&#10;">
                <v:fill on="f" focussize="0,0"/>
                <v:stroke weight="1.5pt" color="#000000" joinstyle="round"/>
                <v:imagedata o:title=""/>
                <o:lock v:ext="edit" aspectratio="f"/>
              </v:shape>
            </w:pict>
          </mc:Fallback>
        </mc:AlternateContent>
      </w:r>
    </w:p>
    <w:p w14:paraId="2E96BBD0">
      <w:pPr>
        <w:jc w:val="both"/>
        <w:rPr>
          <w:rFonts w:hint="eastAsia" w:ascii="黑体" w:eastAsia="黑体"/>
          <w:spacing w:val="-26"/>
          <w:sz w:val="44"/>
          <w:szCs w:val="44"/>
        </w:rPr>
        <w:sectPr>
          <w:footerReference r:id="rId5" w:type="first"/>
          <w:footerReference r:id="rId3" w:type="default"/>
          <w:footerReference r:id="rId4" w:type="even"/>
          <w:pgSz w:w="11906" w:h="16838"/>
          <w:pgMar w:top="1440" w:right="1800" w:bottom="1440" w:left="1800" w:header="851" w:footer="992" w:gutter="0"/>
          <w:pgNumType w:fmt="upperRoman" w:start="1"/>
          <w:cols w:space="720" w:num="1"/>
          <w:titlePg/>
          <w:docGrid w:type="lines" w:linePitch="312" w:charSpace="0"/>
        </w:sectPr>
      </w:pPr>
    </w:p>
    <w:p w14:paraId="047B1D63">
      <w:pPr>
        <w:jc w:val="center"/>
        <w:rPr>
          <w:rFonts w:hint="eastAsia" w:ascii="黑体" w:eastAsia="黑体"/>
          <w:spacing w:val="-26"/>
          <w:sz w:val="44"/>
          <w:szCs w:val="44"/>
        </w:rPr>
      </w:pPr>
    </w:p>
    <w:p w14:paraId="0000DB92">
      <w:pPr>
        <w:jc w:val="center"/>
        <w:rPr>
          <w:rFonts w:ascii="黑体" w:eastAsia="黑体"/>
          <w:spacing w:val="-26"/>
          <w:sz w:val="44"/>
          <w:szCs w:val="44"/>
        </w:rPr>
      </w:pPr>
      <w:r>
        <w:rPr>
          <w:rFonts w:hint="eastAsia" w:ascii="黑体" w:eastAsia="黑体"/>
          <w:spacing w:val="-26"/>
          <w:sz w:val="44"/>
          <w:szCs w:val="44"/>
        </w:rPr>
        <w:t>公司体系管理文件</w:t>
      </w:r>
    </w:p>
    <w:p w14:paraId="3B25409D">
      <w:pPr>
        <w:jc w:val="center"/>
        <w:rPr>
          <w:rFonts w:ascii="黑体" w:eastAsia="黑体"/>
        </w:rPr>
      </w:pPr>
    </w:p>
    <w:p w14:paraId="2E695B11">
      <w:pPr>
        <w:jc w:val="right"/>
        <w:rPr>
          <w:rFonts w:hint="default" w:ascii="黑体" w:eastAsia="宋体"/>
          <w:lang w:val="en-US" w:eastAsia="zh-CN"/>
        </w:rPr>
      </w:pPr>
      <w:r>
        <w:rPr>
          <w:rFonts w:hint="eastAsia" w:ascii="黑体" w:eastAsia="黑体"/>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344170</wp:posOffset>
                </wp:positionV>
                <wp:extent cx="5934075" cy="0"/>
                <wp:effectExtent l="0" t="9525" r="9525" b="9525"/>
                <wp:wrapNone/>
                <wp:docPr id="3" name="AutoShape 359"/>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59" o:spid="_x0000_s1026" o:spt="32" type="#_x0000_t32" style="position:absolute;left:0pt;margin-left:-3.75pt;margin-top:27.1pt;height:0pt;width:467.25pt;z-index:251661312;mso-width-relative:page;mso-height-relative:page;" filled="f" stroked="t" coordsize="21600,21600" o:gfxdata="UEsDBAoAAAAAAIdO4kAAAAAAAAAAAAAAAAAEAAAAZHJzL1BLAwQUAAAACACHTuJAz/sF49UAAAAI&#10;AQAADwAAAGRycy9kb3ducmV2LnhtbE2PwU7DMBBE70j8g7VIXFDrNKJtSOP0gMSJA6HlAzaxm0TE&#10;6yh2GvP3LOIAx50Zzb4pjtEO4mom3ztSsFknIAw1TvfUKvg4v6wyED4gaRwcGQVfxsOxvL0pMNdu&#10;oXdzPYVWcAn5HBV0IYy5lL7pjEW/dqMh9i5ushj4nFqpJ1y43A4yTZKdtNgTf+hwNM+daT5Ps1UQ&#10;33YUYpXFeqH51WcPVURbKXV/t0kOIIKJ4S8MP/iMDiUz1W4m7cWgYLXfclLB9jEFwf5Tuudt9a8g&#10;y0L+H1B+A1BLAwQUAAAACACHTuJADCCWfeIBAADjAwAADgAAAGRycy9lMm9Eb2MueG1srVNNj9Mw&#10;EL0j8R8s32nSLQU2arpCLcsFQaWFHzC1ncSSv+Rxm/bfM3a6XVguPZCDM7Zn3sx7M149nKxhRxVR&#10;e9fy+azmTDnhpXZ9y3/9fHz3iTNM4CQY71TLzwr5w/rtm9UYGnXnB2+kioxAHDZjaPmQUmiqCsWg&#10;LODMB+XosvPRQqJt7CsZYSR0a6q7uv5QjT7KEL1QiHS6nS75BTHeAui7Tgu19eJglUsTalQGElHC&#10;QQfk61Jt1ymRfnQdqsRMy4lpKislIXuf12q9gqaPEAYtLiXALSW84mRBO0p6hdpCAnaI+h8oq0X0&#10;6Ls0E95WE5GiCLGY16+0eRogqMKFpMZwFR3/H6z4ftxFpmXLF5w5sNTwz4fkS2a2WN5ngcaADflt&#10;3C5edhh2MbM9ddHmP/FgpyLq+SqqOiUm6HB5v3hff1xyJp7vqpfAEDF9Vd6ybLQcUwTdD2njnaPW&#10;+TgvosLxGyZKTYHPATmrcWykCb6vl9RNATSLHc0AmTYQH3R9CUZvtHzUxuQQjP1+YyI7Qp6H8mWG&#10;BPyXW86yBRwmv3I1TcqgQH5xkqVzIKUcPRCea7BKcmYUvadsESA0CbS5xZNSG0cVZJEnWbO19/Jc&#10;1C7n1PtS42VO83D9uS/RL29z/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wXj1QAAAAgBAAAP&#10;AAAAAAAAAAEAIAAAACIAAABkcnMvZG93bnJldi54bWxQSwECFAAUAAAACACHTuJADCCWfeIBAADj&#10;AwAADgAAAAAAAAABACAAAAAkAQAAZHJzL2Uyb0RvYy54bWxQSwUGAAAAAAYABgBZAQAAeAUAAAAA&#10;">
                <v:fill on="f" focussize="0,0"/>
                <v:stroke weight="1.5pt" color="#000000" joinstyle="round"/>
                <v:imagedata o:title=""/>
                <o:lock v:ext="edit" aspectratio="f"/>
              </v:shape>
            </w:pict>
          </mc:Fallback>
        </mc:AlternateContent>
      </w:r>
      <w:r>
        <w:rPr>
          <w:rFonts w:hint="eastAsia" w:ascii="宋体"/>
          <w:b/>
          <w:szCs w:val="28"/>
        </w:rPr>
        <w:t>编号:</w:t>
      </w:r>
      <w:r>
        <w:rPr>
          <w:rFonts w:hint="eastAsia"/>
        </w:rPr>
        <w:t xml:space="preserve"> </w:t>
      </w:r>
      <w:r>
        <w:rPr>
          <w:rFonts w:hint="eastAsia" w:ascii="宋体"/>
          <w:b/>
          <w:szCs w:val="28"/>
        </w:rPr>
        <w:t>HY-QMS-202</w:t>
      </w:r>
      <w:r>
        <w:rPr>
          <w:rFonts w:hint="eastAsia" w:ascii="宋体"/>
          <w:b/>
          <w:szCs w:val="28"/>
          <w:lang w:val="en-US" w:eastAsia="zh-CN"/>
        </w:rPr>
        <w:t>5-2</w:t>
      </w:r>
    </w:p>
    <w:p w14:paraId="689409DF">
      <w:pPr>
        <w:adjustRightInd w:val="0"/>
        <w:snapToGrid w:val="0"/>
        <w:rPr>
          <w:rFonts w:cs="Times New Roman"/>
          <w:b/>
          <w:kern w:val="2"/>
          <w:szCs w:val="28"/>
        </w:rPr>
      </w:pPr>
      <w:r>
        <w:rPr>
          <w:rFonts w:hint="eastAsia" w:cs="Times New Roman"/>
          <w:b/>
          <w:kern w:val="2"/>
          <w:szCs w:val="28"/>
        </w:rPr>
        <w:t>发 放 号:</w:t>
      </w:r>
    </w:p>
    <w:p w14:paraId="1ADC14F6">
      <w:pPr>
        <w:rPr>
          <w:rFonts w:ascii="Calibri" w:hAnsi="Calibri"/>
        </w:rPr>
      </w:pPr>
    </w:p>
    <w:p w14:paraId="50AA8B6B">
      <w:pPr>
        <w:jc w:val="center"/>
        <w:rPr>
          <w:rFonts w:ascii="宋体" w:hAnsi="宋体"/>
          <w:sz w:val="48"/>
          <w:szCs w:val="48"/>
        </w:rPr>
      </w:pPr>
    </w:p>
    <w:p w14:paraId="2769F6B6">
      <w:pPr>
        <w:widowControl/>
        <w:jc w:val="center"/>
        <w:rPr>
          <w:rFonts w:ascii="宋体" w:hAnsi="宋体"/>
        </w:rPr>
      </w:pPr>
      <w:r>
        <w:rPr>
          <w:rFonts w:hint="eastAsia" w:ascii="黑体" w:eastAsia="黑体"/>
          <w:sz w:val="72"/>
          <w:szCs w:val="72"/>
        </w:rPr>
        <w:t>质  量  手  册</w:t>
      </w:r>
    </w:p>
    <w:p w14:paraId="4084A7A4">
      <w:pPr>
        <w:widowControl/>
        <w:jc w:val="center"/>
        <w:rPr>
          <w:rFonts w:ascii="宋体" w:hAnsi="宋体"/>
        </w:rPr>
      </w:pPr>
    </w:p>
    <w:p w14:paraId="31EEE3E4">
      <w:pPr>
        <w:ind w:firstLine="2125" w:firstLineChars="756"/>
        <w:rPr>
          <w:rFonts w:cs="Times New Roman"/>
          <w:b/>
          <w:kern w:val="2"/>
          <w:szCs w:val="28"/>
        </w:rPr>
      </w:pPr>
    </w:p>
    <w:p w14:paraId="5CD00147">
      <w:pPr>
        <w:ind w:firstLine="2125" w:firstLineChars="756"/>
        <w:rPr>
          <w:rFonts w:cs="Times New Roman"/>
          <w:b/>
          <w:kern w:val="2"/>
          <w:szCs w:val="28"/>
        </w:rPr>
      </w:pPr>
      <w:r>
        <w:rPr>
          <w:rFonts w:cs="Times New Roman"/>
          <w:b/>
          <w:kern w:val="2"/>
          <w:szCs w:val="28"/>
        </w:rPr>
        <w:t>版</w:t>
      </w:r>
      <w:r>
        <w:rPr>
          <w:rFonts w:hint="eastAsia" w:cs="Times New Roman"/>
          <w:b/>
          <w:kern w:val="2"/>
          <w:szCs w:val="28"/>
        </w:rPr>
        <w:t xml:space="preserve"> </w:t>
      </w:r>
      <w:r>
        <w:rPr>
          <w:rFonts w:cs="Times New Roman"/>
          <w:b/>
          <w:kern w:val="2"/>
          <w:szCs w:val="28"/>
        </w:rPr>
        <w:t>本</w:t>
      </w:r>
      <w:r>
        <w:rPr>
          <w:rFonts w:hint="eastAsia" w:cs="Times New Roman"/>
          <w:b/>
          <w:kern w:val="2"/>
          <w:szCs w:val="28"/>
        </w:rPr>
        <w:t xml:space="preserve"> </w:t>
      </w:r>
      <w:r>
        <w:rPr>
          <w:rFonts w:cs="Times New Roman"/>
          <w:b/>
          <w:kern w:val="2"/>
          <w:szCs w:val="28"/>
        </w:rPr>
        <w:t>号：</w:t>
      </w:r>
    </w:p>
    <w:p w14:paraId="3D8FB9FE">
      <w:pPr>
        <w:ind w:firstLine="2125" w:firstLineChars="756"/>
        <w:rPr>
          <w:rFonts w:cs="Times New Roman"/>
          <w:b/>
          <w:kern w:val="2"/>
          <w:szCs w:val="28"/>
        </w:rPr>
      </w:pPr>
      <w:r>
        <w:rPr>
          <w:rFonts w:hint="eastAsia" w:cs="Times New Roman"/>
          <w:b/>
          <w:kern w:val="2"/>
          <w:szCs w:val="28"/>
        </w:rPr>
        <w:t xml:space="preserve">         </w:t>
      </w:r>
    </w:p>
    <w:p w14:paraId="477C462D">
      <w:pPr>
        <w:adjustRightInd w:val="0"/>
        <w:snapToGrid w:val="0"/>
        <w:ind w:firstLine="2125" w:firstLineChars="756"/>
        <w:rPr>
          <w:rFonts w:cs="Times New Roman"/>
          <w:b/>
          <w:kern w:val="2"/>
          <w:szCs w:val="28"/>
        </w:rPr>
      </w:pPr>
      <w:r>
        <w:rPr>
          <w:rFonts w:hint="eastAsia" w:cs="Times New Roman"/>
          <w:b/>
          <w:kern w:val="2"/>
          <w:szCs w:val="28"/>
        </w:rPr>
        <w:t xml:space="preserve">受控状态: </w:t>
      </w:r>
    </w:p>
    <w:p w14:paraId="23680926">
      <w:pPr>
        <w:adjustRightInd w:val="0"/>
        <w:snapToGrid w:val="0"/>
        <w:ind w:firstLine="2125" w:firstLineChars="756"/>
        <w:rPr>
          <w:rFonts w:cs="Times New Roman"/>
          <w:b/>
          <w:kern w:val="2"/>
          <w:szCs w:val="28"/>
        </w:rPr>
      </w:pPr>
      <w:r>
        <w:rPr>
          <w:rFonts w:hint="eastAsia" w:cs="Times New Roman"/>
          <w:b/>
          <w:kern w:val="2"/>
          <w:szCs w:val="28"/>
        </w:rPr>
        <w:t xml:space="preserve">               </w:t>
      </w:r>
    </w:p>
    <w:p w14:paraId="3111028E">
      <w:pPr>
        <w:ind w:firstLine="2125" w:firstLineChars="756"/>
        <w:rPr>
          <w:rFonts w:cs="Times New Roman"/>
          <w:b/>
          <w:kern w:val="2"/>
          <w:szCs w:val="28"/>
        </w:rPr>
      </w:pPr>
      <w:r>
        <w:rPr>
          <w:rFonts w:hint="eastAsia" w:cs="Times New Roman"/>
          <w:b/>
          <w:kern w:val="2"/>
          <w:szCs w:val="28"/>
        </w:rPr>
        <w:t xml:space="preserve">           </w:t>
      </w:r>
      <w:r>
        <w:rPr>
          <w:rFonts w:hint="eastAsia" w:cs="Times New Roman"/>
          <w:b/>
          <w:kern w:val="2"/>
          <w:szCs w:val="28"/>
          <w:lang w:val="en-US" w:eastAsia="zh-CN"/>
        </w:rPr>
        <w:t>受控</w:t>
      </w:r>
      <w:r>
        <w:rPr>
          <w:rFonts w:hint="eastAsia" w:cs="Times New Roman"/>
          <w:b/>
          <w:kern w:val="2"/>
          <w:szCs w:val="28"/>
        </w:rPr>
        <w:t xml:space="preserve">         </w:t>
      </w:r>
    </w:p>
    <w:p w14:paraId="2B991758">
      <w:pPr>
        <w:ind w:firstLine="2125" w:firstLineChars="756"/>
        <w:rPr>
          <w:rFonts w:cs="Times New Roman"/>
          <w:b/>
          <w:kern w:val="2"/>
          <w:szCs w:val="28"/>
        </w:rPr>
      </w:pPr>
      <w:r>
        <w:rPr>
          <w:rFonts w:hint="eastAsia" w:cs="Times New Roman"/>
          <w:b/>
          <w:kern w:val="2"/>
          <w:szCs w:val="28"/>
        </w:rPr>
        <w:t>编制/日期：</w:t>
      </w:r>
    </w:p>
    <w:p w14:paraId="78CF6DB0">
      <w:pPr>
        <w:widowControl/>
        <w:ind w:firstLine="2674" w:firstLineChars="955"/>
        <w:jc w:val="left"/>
        <w:rPr>
          <w:rFonts w:hint="eastAsia"/>
        </w:rPr>
      </w:pPr>
    </w:p>
    <w:p w14:paraId="3D4C99E8">
      <w:pPr>
        <w:ind w:firstLine="2125" w:firstLineChars="756"/>
        <w:rPr>
          <w:rFonts w:cs="Times New Roman"/>
          <w:b/>
          <w:kern w:val="2"/>
          <w:szCs w:val="28"/>
        </w:rPr>
      </w:pPr>
      <w:r>
        <w:rPr>
          <w:rFonts w:hint="eastAsia" w:cs="Times New Roman"/>
          <w:b/>
          <w:kern w:val="2"/>
          <w:szCs w:val="28"/>
        </w:rPr>
        <w:t xml:space="preserve">审核/日期: </w:t>
      </w:r>
    </w:p>
    <w:p w14:paraId="6400C794">
      <w:pPr>
        <w:widowControl/>
        <w:ind w:firstLine="0" w:firstLineChars="0"/>
        <w:jc w:val="left"/>
      </w:pPr>
    </w:p>
    <w:p w14:paraId="49131903">
      <w:pPr>
        <w:ind w:firstLine="2125" w:firstLineChars="756"/>
        <w:rPr>
          <w:rFonts w:cs="Times New Roman"/>
          <w:b/>
          <w:kern w:val="2"/>
          <w:szCs w:val="28"/>
        </w:rPr>
      </w:pPr>
      <w:r>
        <w:rPr>
          <w:rFonts w:hint="eastAsia" w:cs="Times New Roman"/>
          <w:b/>
          <w:kern w:val="2"/>
          <w:szCs w:val="28"/>
        </w:rPr>
        <w:t>批准/日期：</w:t>
      </w:r>
    </w:p>
    <w:p w14:paraId="059424CE">
      <w:pPr>
        <w:widowControl/>
        <w:ind w:firstLine="2674" w:firstLineChars="955"/>
        <w:jc w:val="left"/>
      </w:pPr>
    </w:p>
    <w:p w14:paraId="19DE0C7F">
      <w:pPr>
        <w:jc w:val="center"/>
        <w:rPr>
          <w:rFonts w:ascii="黑体" w:eastAsia="黑体"/>
          <w:sz w:val="32"/>
          <w:szCs w:val="32"/>
        </w:rPr>
      </w:pPr>
      <w:r>
        <w:rPr>
          <w:rFonts w:hint="eastAsia" w:ascii="黑体" w:eastAsia="黑体"/>
          <w:szCs w:val="28"/>
        </w:rPr>
        <w:t>发布                               实施</w:t>
      </w:r>
    </w:p>
    <w:p w14:paraId="13E55C65">
      <w:pPr>
        <w:widowControl/>
        <w:jc w:val="center"/>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226060</wp:posOffset>
                </wp:positionV>
                <wp:extent cx="5934075" cy="0"/>
                <wp:effectExtent l="0" t="9525" r="9525" b="9525"/>
                <wp:wrapNone/>
                <wp:docPr id="4" name="AutoShape 360"/>
                <wp:cNvGraphicFramePr/>
                <a:graphic xmlns:a="http://schemas.openxmlformats.org/drawingml/2006/main">
                  <a:graphicData uri="http://schemas.microsoft.com/office/word/2010/wordprocessingShape">
                    <wps:wsp>
                      <wps:cNvCnPr/>
                      <wps:spPr>
                        <a:xfrm>
                          <a:off x="0" y="0"/>
                          <a:ext cx="593407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360" o:spid="_x0000_s1026" o:spt="32" type="#_x0000_t32" style="position:absolute;left:0pt;margin-left:-5.25pt;margin-top:17.8pt;height:0pt;width:467.25pt;z-index:251662336;mso-width-relative:page;mso-height-relative:page;" filled="f" stroked="t" coordsize="21600,21600" o:gfxdata="UEsDBAoAAAAAAIdO4kAAAAAAAAAAAAAAAAAEAAAAZHJzL1BLAwQUAAAACACHTuJAc+se+tUAAAAJ&#10;AQAADwAAAGRycy9kb3ducmV2LnhtbE2PwU6EMBCG7ya+QzMmXsxuYXUJspQ9mHjyIK4+wEArkKVT&#10;QstS394xHvQ4M1/++f7yGO0oLmb2gyMF6TYBYah1eqBOwcf78yYH4QOSxtGRUfBlPByr66sSC+1W&#10;ejOXU+gEh5AvUEEfwlRI6dveWPRbNxni26ebLQYe507qGVcOt6PcJUkmLQ7EH3qczFNv2vNpsQri&#10;a0Yh1nlsVlpefH5XR7S1Urc3aXIAEUwMfzD86LM6VOzUuIW0F6OCTZrsGVVwv89AMPC4e+Byze9C&#10;VqX836D6BlBLAwQUAAAACACHTuJATMc5XeEBAADjAwAADgAAAGRycy9lMm9Eb2MueG1srVPLbtsw&#10;ELwX6D8QvNeSkzhtBMtBYDe9FK2BtB+wJimJAF/g0pb9913Sjt2mFx+iA7V87OzOcDh/3FvDdiqi&#10;9q7l00nNmXLCS+36lv/+9fzpC2eYwEkw3qmWHxTyx8XHD/MxNOrGD95IFRmBOGzG0PIhpdBUFYpB&#10;WcCJD8rRZuejhUTT2Fcywkjo1lQ3dX1fjT7KEL1QiLS6Om7yE2K8BtB3nRZq5cXWKpeOqFEZSEQJ&#10;Bx2QL0q3XadE+tl1qBIzLSemqYxUhOJNHqvFHJo+Qhi0OLUA17TwhpMF7ajoGWoFCdg26v+grBbR&#10;o+/SRHhbHYkURYjFtH6jzcsAQRUuJDWGs+j4frDix24dmZYtv+PMgaULf9omXyqz2/si0BiwoXNL&#10;t44kV55hWMfMdt9Fm//Eg+2LqIezqGqfmKDF2cPtXf15xpl43asuiSFi+qa8ZTloOaYIuh/S0jtH&#10;V+fjtIgKu++YqDQlvibkqsaxkRz8UM/oNgWQFzvyAIU2EB90fUlGb7R81sbkFIz9Zmki20H2Q/my&#10;BQj4n2O5ygpwOJ4rW0enDArkVydZOgRSytED4bkHqyRnRtF7ylHxVAJtrjlJpY2jDi6y5mjj5aGo&#10;Xdbp7kuPJ59mc/09L9mXt7n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PrHvrVAAAACQEAAA8A&#10;AAAAAAAAAQAgAAAAIgAAAGRycy9kb3ducmV2LnhtbFBLAQIUABQAAAAIAIdO4kBMxzld4QEAAOMD&#10;AAAOAAAAAAAAAAEAIAAAACQBAABkcnMvZTJvRG9jLnhtbFBLBQYAAAAABgAGAFkBAAB3BQAAAAA=&#10;">
                <v:fill on="f" focussize="0,0"/>
                <v:stroke weight="1.5pt" color="#000000" joinstyle="round"/>
                <v:imagedata o:title=""/>
                <o:lock v:ext="edit" aspectratio="f"/>
              </v:shape>
            </w:pict>
          </mc:Fallback>
        </mc:AlternateContent>
      </w:r>
    </w:p>
    <w:p w14:paraId="6D08F8E8">
      <w:pPr>
        <w:widowControl/>
        <w:jc w:val="center"/>
        <w:rPr>
          <w:rFonts w:hint="eastAsia" w:ascii="黑体" w:eastAsia="黑体"/>
          <w:sz w:val="32"/>
          <w:szCs w:val="32"/>
        </w:rPr>
      </w:pPr>
    </w:p>
    <w:p w14:paraId="647C1C2F">
      <w:pPr>
        <w:jc w:val="center"/>
        <w:rPr>
          <w:rFonts w:ascii="黑体" w:hAnsi="宋体" w:eastAsia="黑体"/>
          <w:sz w:val="30"/>
          <w:szCs w:val="30"/>
        </w:rPr>
      </w:pPr>
      <w:r>
        <w:rPr>
          <w:rFonts w:hint="eastAsia" w:ascii="黑体" w:hAnsi="宋体" w:eastAsia="黑体"/>
          <w:sz w:val="30"/>
          <w:szCs w:val="30"/>
        </w:rPr>
        <w:t>目  次</w:t>
      </w:r>
    </w:p>
    <w:p w14:paraId="77CC0FD1">
      <w:pPr>
        <w:pStyle w:val="6"/>
        <w:tabs>
          <w:tab w:val="right" w:leader="dot" w:pos="8296"/>
        </w:tabs>
        <w:spacing w:line="420" w:lineRule="exact"/>
        <w:ind w:left="0" w:leftChars="0"/>
        <w:rPr>
          <w:rFonts w:ascii="宋体" w:hAnsi="宋体" w:cs="Times New Roman"/>
          <w:kern w:val="2"/>
          <w:sz w:val="24"/>
          <w:szCs w:val="24"/>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fldChar w:fldCharType="begin"/>
      </w:r>
      <w:r>
        <w:instrText xml:space="preserve"> HYPERLINK \l "_Toc521509433" </w:instrText>
      </w:r>
      <w:r>
        <w:fldChar w:fldCharType="separate"/>
      </w:r>
      <w:r>
        <w:rPr>
          <w:rStyle w:val="21"/>
          <w:rFonts w:hint="eastAsia" w:ascii="宋体" w:hAnsi="宋体"/>
          <w:sz w:val="24"/>
          <w:szCs w:val="24"/>
        </w:rPr>
        <w:t>更改控制页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_Toc521509433 \h </w:instrText>
      </w:r>
      <w:r>
        <w:rPr>
          <w:rFonts w:ascii="宋体" w:hAnsi="宋体"/>
          <w:sz w:val="24"/>
          <w:szCs w:val="24"/>
        </w:rPr>
        <w:fldChar w:fldCharType="separate"/>
      </w:r>
      <w:r>
        <w:rPr>
          <w:rFonts w:ascii="宋体" w:hAnsi="宋体"/>
          <w:sz w:val="24"/>
          <w:szCs w:val="24"/>
        </w:rPr>
        <w:t>I</w:t>
      </w:r>
      <w:r>
        <w:rPr>
          <w:rFonts w:ascii="宋体" w:hAnsi="宋体"/>
          <w:sz w:val="24"/>
          <w:szCs w:val="24"/>
        </w:rPr>
        <w:fldChar w:fldCharType="end"/>
      </w:r>
      <w:r>
        <w:rPr>
          <w:rFonts w:ascii="宋体" w:hAnsi="宋体"/>
          <w:sz w:val="24"/>
          <w:szCs w:val="24"/>
        </w:rPr>
        <w:fldChar w:fldCharType="end"/>
      </w:r>
    </w:p>
    <w:p w14:paraId="5B645D30">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"_Toc521509434" </w:instrText>
      </w:r>
      <w:r>
        <w:fldChar w:fldCharType="separate"/>
      </w:r>
      <w:r>
        <w:rPr>
          <w:rStyle w:val="21"/>
          <w:rFonts w:hint="eastAsia" w:ascii="宋体" w:hAnsi="宋体"/>
          <w:b/>
          <w:sz w:val="24"/>
          <w:szCs w:val="24"/>
        </w:rPr>
        <w:t>《质量手册》（</w:t>
      </w:r>
      <w:r>
        <w:rPr>
          <w:rStyle w:val="21"/>
          <w:rFonts w:ascii="宋体" w:hAnsi="宋体"/>
          <w:b/>
          <w:sz w:val="24"/>
          <w:szCs w:val="24"/>
        </w:rPr>
        <w:t>C</w:t>
      </w:r>
      <w:r>
        <w:rPr>
          <w:rStyle w:val="21"/>
          <w:rFonts w:hint="eastAsia" w:ascii="宋体" w:hAnsi="宋体"/>
          <w:b/>
          <w:sz w:val="24"/>
          <w:szCs w:val="24"/>
        </w:rPr>
        <w:t>版）发布令</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_Toc521509434 \h </w:instrText>
      </w:r>
      <w:r>
        <w:rPr>
          <w:rFonts w:ascii="宋体" w:hAnsi="宋体"/>
          <w:sz w:val="24"/>
          <w:szCs w:val="24"/>
        </w:rPr>
        <w:fldChar w:fldCharType="separate"/>
      </w:r>
      <w:r>
        <w:rPr>
          <w:rFonts w:ascii="宋体" w:hAnsi="宋体"/>
          <w:sz w:val="24"/>
          <w:szCs w:val="24"/>
        </w:rPr>
        <w:t>II</w:t>
      </w:r>
      <w:r>
        <w:rPr>
          <w:rFonts w:ascii="宋体" w:hAnsi="宋体"/>
          <w:sz w:val="24"/>
          <w:szCs w:val="24"/>
        </w:rPr>
        <w:fldChar w:fldCharType="end"/>
      </w:r>
      <w:r>
        <w:rPr>
          <w:rFonts w:ascii="宋体" w:hAnsi="宋体"/>
          <w:sz w:val="24"/>
          <w:szCs w:val="24"/>
        </w:rPr>
        <w:fldChar w:fldCharType="end"/>
      </w:r>
    </w:p>
    <w:p w14:paraId="4F667024">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"_Toc521509435" </w:instrText>
      </w:r>
      <w:r>
        <w:fldChar w:fldCharType="separate"/>
      </w:r>
      <w:r>
        <w:rPr>
          <w:rStyle w:val="21"/>
          <w:rFonts w:hint="eastAsia" w:ascii="宋体" w:hAnsi="宋体"/>
          <w:b/>
          <w:sz w:val="24"/>
          <w:szCs w:val="24"/>
        </w:rPr>
        <w:t>前</w:t>
      </w:r>
      <w:r>
        <w:rPr>
          <w:rStyle w:val="21"/>
          <w:rFonts w:ascii="宋体" w:hAnsi="宋体"/>
          <w:b/>
          <w:sz w:val="24"/>
          <w:szCs w:val="24"/>
        </w:rPr>
        <w:t xml:space="preserve">    </w:t>
      </w:r>
      <w:r>
        <w:rPr>
          <w:rStyle w:val="21"/>
          <w:rFonts w:hint="eastAsia" w:ascii="宋体" w:hAnsi="宋体"/>
          <w:b/>
          <w:sz w:val="24"/>
          <w:szCs w:val="24"/>
        </w:rPr>
        <w:t>言</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_Toc521509435 \h </w:instrText>
      </w:r>
      <w:r>
        <w:rPr>
          <w:rFonts w:ascii="宋体" w:hAnsi="宋体"/>
          <w:sz w:val="24"/>
          <w:szCs w:val="24"/>
        </w:rPr>
        <w:fldChar w:fldCharType="separate"/>
      </w:r>
      <w:r>
        <w:rPr>
          <w:rFonts w:ascii="宋体" w:hAnsi="宋体"/>
          <w:sz w:val="24"/>
          <w:szCs w:val="24"/>
        </w:rPr>
        <w:t>IV</w:t>
      </w:r>
      <w:r>
        <w:rPr>
          <w:rFonts w:ascii="宋体" w:hAnsi="宋体"/>
          <w:sz w:val="24"/>
          <w:szCs w:val="24"/>
        </w:rPr>
        <w:fldChar w:fldCharType="end"/>
      </w:r>
      <w:r>
        <w:rPr>
          <w:rFonts w:ascii="宋体" w:hAnsi="宋体"/>
          <w:sz w:val="24"/>
          <w:szCs w:val="24"/>
        </w:rPr>
        <w:fldChar w:fldCharType="end"/>
      </w:r>
    </w:p>
    <w:p w14:paraId="654E4F99">
      <w:pPr>
        <w:pStyle w:val="6"/>
        <w:tabs>
          <w:tab w:val="right" w:leader="dot" w:pos="8296"/>
        </w:tabs>
        <w:spacing w:line="420" w:lineRule="exact"/>
        <w:ind w:left="0" w:leftChars="0"/>
        <w:rPr>
          <w:rFonts w:ascii="宋体" w:hAnsi="宋体" w:cs="Times New Roman"/>
          <w:kern w:val="2"/>
          <w:sz w:val="24"/>
          <w:szCs w:val="24"/>
        </w:rPr>
      </w:pPr>
      <w:r>
        <w:fldChar w:fldCharType="begin"/>
      </w:r>
      <w:r>
        <w:instrText xml:space="preserve"> HYPERLINK \l "_Toc521509436" </w:instrText>
      </w:r>
      <w:r>
        <w:fldChar w:fldCharType="separate"/>
      </w:r>
      <w:r>
        <w:rPr>
          <w:rStyle w:val="21"/>
          <w:rFonts w:hint="eastAsia" w:ascii="宋体" w:hAnsi="宋体"/>
          <w:b/>
          <w:bCs/>
          <w:sz w:val="24"/>
          <w:szCs w:val="24"/>
        </w:rPr>
        <w:t>质</w:t>
      </w:r>
      <w:r>
        <w:rPr>
          <w:rStyle w:val="21"/>
          <w:rFonts w:ascii="宋体" w:hAnsi="宋体"/>
          <w:b/>
          <w:bCs/>
          <w:sz w:val="24"/>
          <w:szCs w:val="24"/>
        </w:rPr>
        <w:t xml:space="preserve">   </w:t>
      </w:r>
      <w:r>
        <w:rPr>
          <w:rStyle w:val="21"/>
          <w:rFonts w:hint="eastAsia" w:ascii="宋体" w:hAnsi="宋体"/>
          <w:b/>
          <w:bCs/>
          <w:sz w:val="24"/>
          <w:szCs w:val="24"/>
        </w:rPr>
        <w:t>量</w:t>
      </w:r>
      <w:r>
        <w:rPr>
          <w:rStyle w:val="21"/>
          <w:rFonts w:ascii="宋体" w:hAnsi="宋体"/>
          <w:b/>
          <w:bCs/>
          <w:sz w:val="24"/>
          <w:szCs w:val="24"/>
        </w:rPr>
        <w:t xml:space="preserve">   </w:t>
      </w:r>
      <w:r>
        <w:rPr>
          <w:rStyle w:val="21"/>
          <w:rFonts w:hint="eastAsia" w:ascii="宋体" w:hAnsi="宋体"/>
          <w:b/>
          <w:bCs/>
          <w:sz w:val="24"/>
          <w:szCs w:val="24"/>
        </w:rPr>
        <w:t>方</w:t>
      </w:r>
      <w:r>
        <w:rPr>
          <w:rStyle w:val="21"/>
          <w:rFonts w:ascii="宋体" w:hAnsi="宋体"/>
          <w:b/>
          <w:bCs/>
          <w:sz w:val="24"/>
          <w:szCs w:val="24"/>
        </w:rPr>
        <w:t xml:space="preserve">   </w:t>
      </w:r>
      <w:r>
        <w:rPr>
          <w:rStyle w:val="21"/>
          <w:rFonts w:hint="eastAsia" w:ascii="宋体" w:hAnsi="宋体"/>
          <w:b/>
          <w:bCs/>
          <w:sz w:val="24"/>
          <w:szCs w:val="24"/>
        </w:rPr>
        <w:t>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_Toc521509436 \h </w:instrText>
      </w:r>
      <w:r>
        <w:rPr>
          <w:rFonts w:ascii="宋体" w:hAnsi="宋体"/>
          <w:sz w:val="24"/>
          <w:szCs w:val="24"/>
        </w:rPr>
        <w:fldChar w:fldCharType="separate"/>
      </w:r>
      <w:r>
        <w:rPr>
          <w:rFonts w:ascii="宋体" w:hAnsi="宋体"/>
          <w:sz w:val="24"/>
          <w:szCs w:val="24"/>
        </w:rPr>
        <w:t>VI</w:t>
      </w:r>
      <w:r>
        <w:rPr>
          <w:rFonts w:ascii="宋体" w:hAnsi="宋体"/>
          <w:sz w:val="24"/>
          <w:szCs w:val="24"/>
        </w:rPr>
        <w:fldChar w:fldCharType="end"/>
      </w:r>
      <w:r>
        <w:rPr>
          <w:rFonts w:ascii="宋体" w:hAnsi="宋体"/>
          <w:sz w:val="24"/>
          <w:szCs w:val="24"/>
        </w:rPr>
        <w:fldChar w:fldCharType="end"/>
      </w:r>
    </w:p>
    <w:p w14:paraId="703E9D53">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"_Toc521509437" </w:instrText>
      </w:r>
      <w:r>
        <w:fldChar w:fldCharType="separate"/>
      </w:r>
      <w:r>
        <w:rPr>
          <w:rStyle w:val="21"/>
          <w:rFonts w:ascii="宋体" w:hAnsi="宋体"/>
          <w:sz w:val="24"/>
          <w:szCs w:val="24"/>
        </w:rPr>
        <w:t>1</w:t>
      </w:r>
      <w:r>
        <w:rPr>
          <w:rStyle w:val="21"/>
          <w:rFonts w:hint="eastAsia" w:ascii="宋体" w:hAnsi="宋体"/>
          <w:sz w:val="24"/>
          <w:szCs w:val="24"/>
        </w:rPr>
        <w:t>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_Toc521509437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3BD459D9">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"_Toc521509438" </w:instrText>
      </w:r>
      <w:r>
        <w:fldChar w:fldCharType="separate"/>
      </w:r>
      <w:r>
        <w:rPr>
          <w:rStyle w:val="21"/>
          <w:rFonts w:ascii="宋体" w:hAnsi="宋体"/>
          <w:sz w:val="24"/>
          <w:szCs w:val="24"/>
        </w:rPr>
        <w:t>2</w:t>
      </w:r>
      <w:r>
        <w:rPr>
          <w:rStyle w:val="21"/>
          <w:rFonts w:hint="eastAsia" w:ascii="宋体" w:hAnsi="宋体"/>
          <w:sz w:val="24"/>
          <w:szCs w:val="24"/>
        </w:rPr>
        <w:t>规范性引用文件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_Toc521509438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2DF6F2E2">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"_Toc521509439" </w:instrText>
      </w:r>
      <w:r>
        <w:fldChar w:fldCharType="separate"/>
      </w:r>
      <w:r>
        <w:rPr>
          <w:rStyle w:val="21"/>
          <w:rFonts w:ascii="宋体" w:hAnsi="宋体"/>
          <w:sz w:val="24"/>
          <w:szCs w:val="24"/>
        </w:rPr>
        <w:t>3</w:t>
      </w:r>
      <w:r>
        <w:rPr>
          <w:rStyle w:val="21"/>
          <w:rFonts w:hint="eastAsia" w:ascii="宋体" w:hAnsi="宋体"/>
          <w:sz w:val="24"/>
          <w:szCs w:val="24"/>
        </w:rPr>
        <w:t>术语和定义</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_Toc521509439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0B45A8C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"_Toc521509440" </w:instrText>
      </w:r>
      <w:r>
        <w:fldChar w:fldCharType="separate"/>
      </w:r>
      <w:r>
        <w:rPr>
          <w:rStyle w:val="21"/>
          <w:rFonts w:ascii="宋体" w:hAnsi="宋体"/>
          <w:sz w:val="24"/>
          <w:szCs w:val="24"/>
        </w:rPr>
        <w:t>4</w:t>
      </w:r>
      <w:r>
        <w:rPr>
          <w:rStyle w:val="21"/>
          <w:rFonts w:hint="eastAsia" w:ascii="宋体" w:hAnsi="宋体"/>
          <w:sz w:val="24"/>
          <w:szCs w:val="24"/>
        </w:rPr>
        <w:t>组织环境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_Toc521509440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0AC2A805">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"_Toc521509441" </w:instrText>
      </w:r>
      <w:r>
        <w:fldChar w:fldCharType="separate"/>
      </w:r>
      <w:r>
        <w:rPr>
          <w:rStyle w:val="21"/>
          <w:rFonts w:ascii="宋体" w:hAnsi="宋体"/>
          <w:sz w:val="24"/>
          <w:szCs w:val="24"/>
        </w:rPr>
        <w:t>4.1</w:t>
      </w:r>
      <w:r>
        <w:rPr>
          <w:rStyle w:val="21"/>
          <w:rFonts w:hint="eastAsia" w:ascii="宋体" w:hAnsi="宋体"/>
          <w:sz w:val="24"/>
          <w:szCs w:val="24"/>
        </w:rPr>
        <w:t>理解组织及其环境</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_Toc521509441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346E844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"_Toc521509442" </w:instrText>
      </w:r>
      <w:r>
        <w:fldChar w:fldCharType="separate"/>
      </w:r>
      <w:r>
        <w:rPr>
          <w:rStyle w:val="21"/>
          <w:rFonts w:ascii="宋体" w:hAnsi="宋体"/>
          <w:sz w:val="24"/>
          <w:szCs w:val="24"/>
        </w:rPr>
        <w:t>4.2</w:t>
      </w:r>
      <w:r>
        <w:rPr>
          <w:rStyle w:val="21"/>
          <w:rFonts w:hint="eastAsia" w:ascii="宋体" w:hAnsi="宋体"/>
          <w:sz w:val="24"/>
          <w:szCs w:val="24"/>
        </w:rPr>
        <w:t>理解相关方的需求和期望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_Toc521509442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23F4D8E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"_Toc521509443" </w:instrText>
      </w:r>
      <w:r>
        <w:fldChar w:fldCharType="separate"/>
      </w:r>
      <w:r>
        <w:rPr>
          <w:rStyle w:val="21"/>
          <w:rFonts w:ascii="宋体" w:hAnsi="宋体"/>
          <w:sz w:val="24"/>
          <w:szCs w:val="24"/>
        </w:rPr>
        <w:t>4.3</w:t>
      </w:r>
      <w:r>
        <w:rPr>
          <w:rStyle w:val="21"/>
          <w:rFonts w:hint="eastAsia" w:ascii="宋体" w:hAnsi="宋体"/>
          <w:sz w:val="24"/>
          <w:szCs w:val="24"/>
        </w:rPr>
        <w:t>确定质量管理体系的范围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_Toc521509443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750654F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"_Toc521509444" </w:instrText>
      </w:r>
      <w:r>
        <w:fldChar w:fldCharType="separate"/>
      </w:r>
      <w:r>
        <w:rPr>
          <w:rStyle w:val="21"/>
          <w:rFonts w:ascii="宋体" w:hAnsi="宋体"/>
          <w:sz w:val="24"/>
          <w:szCs w:val="24"/>
        </w:rPr>
        <w:t xml:space="preserve">4.4 </w:t>
      </w:r>
      <w:r>
        <w:rPr>
          <w:rStyle w:val="21"/>
          <w:rFonts w:hint="eastAsia" w:ascii="宋体" w:hAnsi="宋体"/>
          <w:sz w:val="24"/>
          <w:szCs w:val="24"/>
        </w:rPr>
        <w:t>质量管理体系及其过程</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_Toc521509444 \h </w:instrText>
      </w:r>
      <w:r>
        <w:rPr>
          <w:rFonts w:ascii="宋体" w:hAnsi="宋体"/>
          <w:sz w:val="24"/>
          <w:szCs w:val="24"/>
        </w:rPr>
        <w:fldChar w:fldCharType="separate"/>
      </w:r>
      <w:r>
        <w:rPr>
          <w:rFonts w:ascii="宋体" w:hAnsi="宋体"/>
          <w:sz w:val="24"/>
          <w:szCs w:val="24"/>
        </w:rPr>
        <w:t>4</w:t>
      </w:r>
      <w:r>
        <w:rPr>
          <w:rFonts w:ascii="宋体" w:hAnsi="宋体"/>
          <w:sz w:val="24"/>
          <w:szCs w:val="24"/>
        </w:rPr>
        <w:fldChar w:fldCharType="end"/>
      </w:r>
      <w:r>
        <w:rPr>
          <w:rFonts w:ascii="宋体" w:hAnsi="宋体"/>
          <w:sz w:val="24"/>
          <w:szCs w:val="24"/>
        </w:rPr>
        <w:fldChar w:fldCharType="end"/>
      </w:r>
    </w:p>
    <w:p w14:paraId="63AFA197">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"_Toc521509445" </w:instrText>
      </w:r>
      <w:r>
        <w:fldChar w:fldCharType="separate"/>
      </w:r>
      <w:r>
        <w:rPr>
          <w:rStyle w:val="21"/>
          <w:rFonts w:ascii="宋体" w:hAnsi="宋体"/>
          <w:sz w:val="24"/>
          <w:szCs w:val="24"/>
        </w:rPr>
        <w:t>5</w:t>
      </w:r>
      <w:r>
        <w:rPr>
          <w:rStyle w:val="21"/>
          <w:rFonts w:hint="eastAsia" w:ascii="宋体" w:hAnsi="宋体"/>
          <w:sz w:val="24"/>
          <w:szCs w:val="24"/>
        </w:rPr>
        <w:t>领导作用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_Toc521509445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47F5DBF5">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"_Toc521509446" </w:instrText>
      </w:r>
      <w:r>
        <w:fldChar w:fldCharType="separate"/>
      </w:r>
      <w:r>
        <w:rPr>
          <w:rStyle w:val="21"/>
          <w:rFonts w:ascii="宋体" w:hAnsi="宋体"/>
          <w:sz w:val="24"/>
          <w:szCs w:val="24"/>
        </w:rPr>
        <w:t>5.1</w:t>
      </w:r>
      <w:r>
        <w:rPr>
          <w:rStyle w:val="21"/>
          <w:rFonts w:hint="eastAsia" w:ascii="宋体" w:hAnsi="宋体"/>
          <w:sz w:val="24"/>
          <w:szCs w:val="24"/>
        </w:rPr>
        <w:t>领导作用和承诺</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_Toc521509446 \h </w:instrText>
      </w:r>
      <w:r>
        <w:rPr>
          <w:rFonts w:ascii="宋体" w:hAnsi="宋体"/>
          <w:sz w:val="24"/>
          <w:szCs w:val="24"/>
        </w:rPr>
        <w:fldChar w:fldCharType="separate"/>
      </w:r>
      <w:r>
        <w:rPr>
          <w:rFonts w:ascii="宋体" w:hAnsi="宋体"/>
          <w:sz w:val="24"/>
          <w:szCs w:val="24"/>
        </w:rPr>
        <w:t>8</w:t>
      </w:r>
      <w:r>
        <w:rPr>
          <w:rFonts w:ascii="宋体" w:hAnsi="宋体"/>
          <w:sz w:val="24"/>
          <w:szCs w:val="24"/>
        </w:rPr>
        <w:fldChar w:fldCharType="end"/>
      </w:r>
      <w:r>
        <w:rPr>
          <w:rFonts w:ascii="宋体" w:hAnsi="宋体"/>
          <w:sz w:val="24"/>
          <w:szCs w:val="24"/>
        </w:rPr>
        <w:fldChar w:fldCharType="end"/>
      </w:r>
    </w:p>
    <w:p w14:paraId="179257A8">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"_Toc521509447" </w:instrText>
      </w:r>
      <w:r>
        <w:fldChar w:fldCharType="separate"/>
      </w:r>
      <w:r>
        <w:rPr>
          <w:rStyle w:val="21"/>
          <w:rFonts w:ascii="宋体" w:hAnsi="宋体"/>
          <w:sz w:val="24"/>
          <w:szCs w:val="24"/>
        </w:rPr>
        <w:t>5.2</w:t>
      </w:r>
      <w:r>
        <w:rPr>
          <w:rStyle w:val="21"/>
          <w:rFonts w:hint="eastAsia" w:ascii="宋体" w:hAnsi="宋体"/>
          <w:sz w:val="24"/>
          <w:szCs w:val="24"/>
        </w:rPr>
        <w:t>方针</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_Toc521509447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31E2461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"_Toc521509448" </w:instrText>
      </w:r>
      <w:r>
        <w:fldChar w:fldCharType="separate"/>
      </w:r>
      <w:r>
        <w:rPr>
          <w:rStyle w:val="21"/>
          <w:rFonts w:ascii="宋体" w:hAnsi="宋体"/>
          <w:sz w:val="24"/>
          <w:szCs w:val="24"/>
        </w:rPr>
        <w:t>5.3</w:t>
      </w:r>
      <w:r>
        <w:rPr>
          <w:rStyle w:val="21"/>
          <w:rFonts w:hint="eastAsia" w:ascii="宋体" w:hAnsi="宋体"/>
          <w:sz w:val="24"/>
          <w:szCs w:val="24"/>
        </w:rPr>
        <w:t>公司的岗位、职责和权限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_Toc521509448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1FB76C1F">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"_Toc521509449" </w:instrText>
      </w:r>
      <w:r>
        <w:fldChar w:fldCharType="separate"/>
      </w:r>
      <w:r>
        <w:rPr>
          <w:rStyle w:val="21"/>
          <w:rFonts w:ascii="宋体" w:hAnsi="宋体"/>
          <w:sz w:val="24"/>
          <w:szCs w:val="24"/>
        </w:rPr>
        <w:t>6</w:t>
      </w:r>
      <w:r>
        <w:rPr>
          <w:rStyle w:val="21"/>
          <w:rFonts w:hint="eastAsia" w:ascii="宋体" w:hAnsi="宋体"/>
          <w:sz w:val="24"/>
          <w:szCs w:val="24"/>
        </w:rPr>
        <w:t>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_Toc521509449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0624190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"_Toc521509450" </w:instrText>
      </w:r>
      <w:r>
        <w:fldChar w:fldCharType="separate"/>
      </w:r>
      <w:r>
        <w:rPr>
          <w:rStyle w:val="21"/>
          <w:rFonts w:ascii="宋体" w:hAnsi="宋体"/>
          <w:sz w:val="24"/>
          <w:szCs w:val="24"/>
        </w:rPr>
        <w:t xml:space="preserve">6.1 </w:t>
      </w:r>
      <w:r>
        <w:rPr>
          <w:rStyle w:val="21"/>
          <w:rFonts w:hint="eastAsia" w:ascii="宋体" w:hAnsi="宋体"/>
          <w:sz w:val="24"/>
          <w:szCs w:val="24"/>
        </w:rPr>
        <w:t>应对风险和机遇的措施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_Toc521509450 \h </w:instrText>
      </w:r>
      <w:r>
        <w:rPr>
          <w:rFonts w:ascii="宋体" w:hAnsi="宋体"/>
          <w:sz w:val="24"/>
          <w:szCs w:val="24"/>
        </w:rPr>
        <w:fldChar w:fldCharType="separate"/>
      </w:r>
      <w:r>
        <w:rPr>
          <w:rFonts w:ascii="宋体" w:hAnsi="宋体"/>
          <w:sz w:val="24"/>
          <w:szCs w:val="24"/>
        </w:rPr>
        <w:t>10</w:t>
      </w:r>
      <w:r>
        <w:rPr>
          <w:rFonts w:ascii="宋体" w:hAnsi="宋体"/>
          <w:sz w:val="24"/>
          <w:szCs w:val="24"/>
        </w:rPr>
        <w:fldChar w:fldCharType="end"/>
      </w:r>
      <w:r>
        <w:rPr>
          <w:rFonts w:ascii="宋体" w:hAnsi="宋体"/>
          <w:sz w:val="24"/>
          <w:szCs w:val="24"/>
        </w:rPr>
        <w:fldChar w:fldCharType="end"/>
      </w:r>
    </w:p>
    <w:p w14:paraId="02E1C9C2">
      <w:pPr>
        <w:pStyle w:val="13"/>
        <w:tabs>
          <w:tab w:val="right" w:leader="dot" w:pos="8296"/>
        </w:tabs>
        <w:spacing w:line="420" w:lineRule="exact"/>
        <w:ind w:left="560"/>
        <w:rPr>
          <w:rStyle w:val="21"/>
          <w:rFonts w:ascii="宋体" w:hAnsi="宋体"/>
          <w:sz w:val="24"/>
          <w:szCs w:val="24"/>
        </w:rPr>
      </w:pPr>
      <w:r>
        <w:fldChar w:fldCharType="begin"/>
      </w:r>
      <w:r>
        <w:instrText xml:space="preserve"> HYPERLINK \l "_Toc521509451" </w:instrText>
      </w:r>
      <w:r>
        <w:fldChar w:fldCharType="separate"/>
      </w:r>
      <w:r>
        <w:rPr>
          <w:rStyle w:val="21"/>
          <w:rFonts w:ascii="宋体" w:hAnsi="宋体"/>
          <w:sz w:val="24"/>
          <w:szCs w:val="24"/>
        </w:rPr>
        <w:t xml:space="preserve">6.2 </w:t>
      </w:r>
      <w:r>
        <w:rPr>
          <w:rStyle w:val="21"/>
          <w:rFonts w:hint="eastAsia" w:ascii="宋体" w:hAnsi="宋体"/>
          <w:sz w:val="24"/>
          <w:szCs w:val="24"/>
        </w:rPr>
        <w:t>质量目标及其实现的策划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6B0C09CE">
      <w:pPr>
        <w:pStyle w:val="13"/>
        <w:tabs>
          <w:tab w:val="right" w:leader="dot" w:pos="8296"/>
        </w:tabs>
        <w:spacing w:line="420" w:lineRule="exact"/>
        <w:ind w:left="560"/>
        <w:rPr>
          <w:rFonts w:ascii="Calibri" w:hAnsi="Calibri"/>
        </w:rPr>
      </w:pPr>
      <w:r>
        <w:fldChar w:fldCharType="begin"/>
      </w:r>
      <w:r>
        <w:instrText xml:space="preserve"> HYPERLINK \l "_Toc521509451" </w:instrText>
      </w:r>
      <w:r>
        <w:fldChar w:fldCharType="separate"/>
      </w:r>
      <w:r>
        <w:rPr>
          <w:rStyle w:val="21"/>
          <w:rFonts w:ascii="宋体" w:hAnsi="宋体"/>
          <w:sz w:val="24"/>
          <w:szCs w:val="24"/>
        </w:rPr>
        <w:t>6.</w:t>
      </w:r>
      <w:r>
        <w:rPr>
          <w:rStyle w:val="21"/>
          <w:rFonts w:hint="eastAsia" w:ascii="宋体" w:hAnsi="宋体"/>
          <w:sz w:val="24"/>
          <w:szCs w:val="24"/>
        </w:rPr>
        <w:t>3变更的策划</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_Toc521509451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7865D3D3">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"_Toc521509452" </w:instrText>
      </w:r>
      <w:r>
        <w:fldChar w:fldCharType="separate"/>
      </w:r>
      <w:r>
        <w:rPr>
          <w:rStyle w:val="21"/>
          <w:rFonts w:ascii="宋体" w:hAnsi="宋体"/>
          <w:sz w:val="24"/>
          <w:szCs w:val="24"/>
        </w:rPr>
        <w:t>7</w:t>
      </w:r>
      <w:r>
        <w:rPr>
          <w:rStyle w:val="21"/>
          <w:rFonts w:hint="eastAsia" w:ascii="宋体" w:hAnsi="宋体"/>
          <w:sz w:val="24"/>
          <w:szCs w:val="24"/>
        </w:rPr>
        <w:t>支持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_Toc521509452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2308759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"_Toc521509453" </w:instrText>
      </w:r>
      <w:r>
        <w:fldChar w:fldCharType="separate"/>
      </w:r>
      <w:r>
        <w:rPr>
          <w:rStyle w:val="21"/>
          <w:rFonts w:ascii="宋体" w:hAnsi="宋体"/>
          <w:sz w:val="24"/>
          <w:szCs w:val="24"/>
        </w:rPr>
        <w:t xml:space="preserve">7.1 </w:t>
      </w:r>
      <w:r>
        <w:rPr>
          <w:rStyle w:val="21"/>
          <w:rFonts w:hint="eastAsia" w:ascii="宋体" w:hAnsi="宋体"/>
          <w:sz w:val="24"/>
          <w:szCs w:val="24"/>
        </w:rPr>
        <w:t>资源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_Toc521509453 \h </w:instrText>
      </w:r>
      <w:r>
        <w:rPr>
          <w:rFonts w:ascii="宋体" w:hAnsi="宋体"/>
          <w:sz w:val="24"/>
          <w:szCs w:val="24"/>
        </w:rPr>
        <w:fldChar w:fldCharType="separate"/>
      </w:r>
      <w:r>
        <w:rPr>
          <w:rFonts w:ascii="宋体" w:hAnsi="宋体"/>
          <w:sz w:val="24"/>
          <w:szCs w:val="24"/>
        </w:rPr>
        <w:t>14</w:t>
      </w:r>
      <w:r>
        <w:rPr>
          <w:rFonts w:ascii="宋体" w:hAnsi="宋体"/>
          <w:sz w:val="24"/>
          <w:szCs w:val="24"/>
        </w:rPr>
        <w:fldChar w:fldCharType="end"/>
      </w:r>
      <w:r>
        <w:rPr>
          <w:rFonts w:ascii="宋体" w:hAnsi="宋体"/>
          <w:sz w:val="24"/>
          <w:szCs w:val="24"/>
        </w:rPr>
        <w:fldChar w:fldCharType="end"/>
      </w:r>
    </w:p>
    <w:p w14:paraId="15361FB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"_Toc521509454" </w:instrText>
      </w:r>
      <w:r>
        <w:fldChar w:fldCharType="separate"/>
      </w:r>
      <w:r>
        <w:rPr>
          <w:rStyle w:val="21"/>
          <w:rFonts w:ascii="宋体" w:hAnsi="宋体"/>
          <w:sz w:val="24"/>
          <w:szCs w:val="24"/>
        </w:rPr>
        <w:t xml:space="preserve">7.2 </w:t>
      </w:r>
      <w:r>
        <w:rPr>
          <w:rStyle w:val="21"/>
          <w:rFonts w:hint="eastAsia" w:ascii="宋体" w:hAnsi="宋体"/>
          <w:sz w:val="24"/>
          <w:szCs w:val="24"/>
        </w:rPr>
        <w:t>能力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_Toc521509454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72AF914E">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"_Toc521509455" </w:instrText>
      </w:r>
      <w:r>
        <w:fldChar w:fldCharType="separate"/>
      </w:r>
      <w:r>
        <w:rPr>
          <w:rStyle w:val="21"/>
          <w:rFonts w:ascii="宋体" w:hAnsi="宋体"/>
          <w:sz w:val="24"/>
          <w:szCs w:val="24"/>
        </w:rPr>
        <w:t xml:space="preserve">7.3 </w:t>
      </w:r>
      <w:r>
        <w:rPr>
          <w:rStyle w:val="21"/>
          <w:rFonts w:hint="eastAsia" w:ascii="宋体" w:hAnsi="宋体"/>
          <w:sz w:val="24"/>
          <w:szCs w:val="24"/>
        </w:rPr>
        <w:t>意识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_Toc521509455 \h </w:instrText>
      </w:r>
      <w:r>
        <w:rPr>
          <w:rFonts w:ascii="宋体" w:hAnsi="宋体"/>
          <w:sz w:val="24"/>
          <w:szCs w:val="24"/>
        </w:rPr>
        <w:fldChar w:fldCharType="separate"/>
      </w:r>
      <w:r>
        <w:rPr>
          <w:rFonts w:ascii="宋体" w:hAnsi="宋体"/>
          <w:sz w:val="24"/>
          <w:szCs w:val="24"/>
        </w:rPr>
        <w:t>16</w:t>
      </w:r>
      <w:r>
        <w:rPr>
          <w:rFonts w:ascii="宋体" w:hAnsi="宋体"/>
          <w:sz w:val="24"/>
          <w:szCs w:val="24"/>
        </w:rPr>
        <w:fldChar w:fldCharType="end"/>
      </w:r>
      <w:r>
        <w:rPr>
          <w:rFonts w:ascii="宋体" w:hAnsi="宋体"/>
          <w:sz w:val="24"/>
          <w:szCs w:val="24"/>
        </w:rPr>
        <w:fldChar w:fldCharType="end"/>
      </w:r>
    </w:p>
    <w:p w14:paraId="5533428D">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"_Toc521509456" </w:instrText>
      </w:r>
      <w:r>
        <w:fldChar w:fldCharType="separate"/>
      </w:r>
      <w:r>
        <w:rPr>
          <w:rStyle w:val="21"/>
          <w:rFonts w:ascii="宋体" w:hAnsi="宋体"/>
          <w:sz w:val="24"/>
          <w:szCs w:val="24"/>
        </w:rPr>
        <w:t>7.4</w:t>
      </w:r>
      <w:r>
        <w:rPr>
          <w:rStyle w:val="21"/>
          <w:rFonts w:hint="eastAsia" w:ascii="宋体" w:hAnsi="宋体"/>
          <w:sz w:val="24"/>
          <w:szCs w:val="24"/>
        </w:rPr>
        <w:t>沟通</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_Toc521509456 \h </w:instrText>
      </w:r>
      <w:r>
        <w:rPr>
          <w:rFonts w:ascii="宋体" w:hAnsi="宋体"/>
          <w:sz w:val="24"/>
          <w:szCs w:val="24"/>
        </w:rPr>
        <w:fldChar w:fldCharType="separate"/>
      </w:r>
      <w:r>
        <w:rPr>
          <w:rFonts w:ascii="宋体" w:hAnsi="宋体"/>
          <w:sz w:val="24"/>
          <w:szCs w:val="24"/>
        </w:rPr>
        <w:t>17</w:t>
      </w:r>
      <w:r>
        <w:rPr>
          <w:rFonts w:ascii="宋体" w:hAnsi="宋体"/>
          <w:sz w:val="24"/>
          <w:szCs w:val="24"/>
        </w:rPr>
        <w:fldChar w:fldCharType="end"/>
      </w:r>
      <w:r>
        <w:rPr>
          <w:rFonts w:ascii="宋体" w:hAnsi="宋体"/>
          <w:sz w:val="24"/>
          <w:szCs w:val="24"/>
        </w:rPr>
        <w:fldChar w:fldCharType="end"/>
      </w:r>
    </w:p>
    <w:p w14:paraId="6805CAA6">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"_Toc521509457" </w:instrText>
      </w:r>
      <w:r>
        <w:fldChar w:fldCharType="separate"/>
      </w:r>
      <w:r>
        <w:rPr>
          <w:rStyle w:val="21"/>
          <w:rFonts w:ascii="宋体" w:hAnsi="宋体"/>
          <w:sz w:val="24"/>
          <w:szCs w:val="24"/>
        </w:rPr>
        <w:t xml:space="preserve">7.5 </w:t>
      </w:r>
      <w:r>
        <w:rPr>
          <w:rStyle w:val="21"/>
          <w:rFonts w:hint="eastAsia" w:ascii="宋体" w:hAnsi="宋体"/>
          <w:sz w:val="24"/>
          <w:szCs w:val="24"/>
        </w:rPr>
        <w:t>成文信息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_Toc521509457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14:paraId="6233604B">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"_Toc521509458" </w:instrText>
      </w:r>
      <w:r>
        <w:fldChar w:fldCharType="separate"/>
      </w:r>
      <w:r>
        <w:rPr>
          <w:rStyle w:val="21"/>
          <w:rFonts w:ascii="宋体" w:hAnsi="宋体"/>
          <w:sz w:val="24"/>
          <w:szCs w:val="24"/>
        </w:rPr>
        <w:t xml:space="preserve">7.6 </w:t>
      </w:r>
      <w:r>
        <w:rPr>
          <w:rStyle w:val="21"/>
          <w:rFonts w:hint="eastAsia" w:ascii="宋体" w:hAnsi="宋体"/>
          <w:sz w:val="24"/>
          <w:szCs w:val="24"/>
        </w:rPr>
        <w:t>质量信息</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_Toc521509458 \h </w:instrText>
      </w:r>
      <w:r>
        <w:rPr>
          <w:rFonts w:ascii="宋体" w:hAnsi="宋体"/>
          <w:sz w:val="24"/>
          <w:szCs w:val="24"/>
        </w:rPr>
        <w:fldChar w:fldCharType="separate"/>
      </w:r>
      <w:r>
        <w:rPr>
          <w:rFonts w:ascii="宋体" w:hAnsi="宋体"/>
          <w:sz w:val="24"/>
          <w:szCs w:val="24"/>
        </w:rPr>
        <w:t>19</w:t>
      </w:r>
      <w:r>
        <w:rPr>
          <w:rFonts w:ascii="宋体" w:hAnsi="宋体"/>
          <w:sz w:val="24"/>
          <w:szCs w:val="24"/>
        </w:rPr>
        <w:fldChar w:fldCharType="end"/>
      </w:r>
      <w:r>
        <w:rPr>
          <w:rFonts w:ascii="宋体" w:hAnsi="宋体"/>
          <w:sz w:val="24"/>
          <w:szCs w:val="24"/>
        </w:rPr>
        <w:fldChar w:fldCharType="end"/>
      </w:r>
    </w:p>
    <w:p w14:paraId="6BE8836A">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"_Toc521509459" </w:instrText>
      </w:r>
      <w:r>
        <w:fldChar w:fldCharType="separate"/>
      </w:r>
      <w:r>
        <w:rPr>
          <w:rStyle w:val="21"/>
          <w:rFonts w:ascii="宋体" w:hAnsi="宋体"/>
          <w:sz w:val="24"/>
          <w:szCs w:val="24"/>
        </w:rPr>
        <w:t>8</w:t>
      </w:r>
      <w:r>
        <w:rPr>
          <w:rStyle w:val="21"/>
          <w:rFonts w:hint="eastAsia" w:ascii="宋体" w:hAnsi="宋体"/>
          <w:sz w:val="24"/>
          <w:szCs w:val="24"/>
        </w:rPr>
        <w:t>运行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_Toc521509459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485AF11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"_Toc521509460" </w:instrText>
      </w:r>
      <w:r>
        <w:fldChar w:fldCharType="separate"/>
      </w:r>
      <w:r>
        <w:rPr>
          <w:rStyle w:val="21"/>
          <w:rFonts w:ascii="宋体" w:hAnsi="宋体"/>
          <w:sz w:val="24"/>
          <w:szCs w:val="24"/>
        </w:rPr>
        <w:t xml:space="preserve">8.1 </w:t>
      </w:r>
      <w:r>
        <w:rPr>
          <w:rStyle w:val="21"/>
          <w:rFonts w:hint="eastAsia" w:ascii="宋体" w:hAnsi="宋体"/>
          <w:sz w:val="24"/>
          <w:szCs w:val="24"/>
        </w:rPr>
        <w:t>运行的策划和控制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_Toc521509460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5131C17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"_Toc521509461" </w:instrText>
      </w:r>
      <w:r>
        <w:fldChar w:fldCharType="separate"/>
      </w:r>
      <w:r>
        <w:rPr>
          <w:rStyle w:val="21"/>
          <w:rFonts w:ascii="宋体" w:hAnsi="宋体"/>
          <w:sz w:val="24"/>
          <w:szCs w:val="24"/>
        </w:rPr>
        <w:t>8.2</w:t>
      </w:r>
      <w:r>
        <w:rPr>
          <w:rStyle w:val="21"/>
          <w:rFonts w:hint="eastAsia" w:ascii="宋体" w:hAnsi="宋体"/>
          <w:sz w:val="24"/>
          <w:szCs w:val="24"/>
        </w:rPr>
        <w:t>产品和服务的要求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_Toc521509461 \h </w:instrText>
      </w:r>
      <w:r>
        <w:rPr>
          <w:rFonts w:ascii="宋体" w:hAnsi="宋体"/>
          <w:sz w:val="24"/>
          <w:szCs w:val="24"/>
        </w:rPr>
        <w:fldChar w:fldCharType="separate"/>
      </w:r>
      <w:r>
        <w:rPr>
          <w:rFonts w:ascii="宋体" w:hAnsi="宋体"/>
          <w:sz w:val="24"/>
          <w:szCs w:val="24"/>
        </w:rPr>
        <w:t>22</w:t>
      </w:r>
      <w:r>
        <w:rPr>
          <w:rFonts w:ascii="宋体" w:hAnsi="宋体"/>
          <w:sz w:val="24"/>
          <w:szCs w:val="24"/>
        </w:rPr>
        <w:fldChar w:fldCharType="end"/>
      </w:r>
      <w:r>
        <w:rPr>
          <w:rFonts w:ascii="宋体" w:hAnsi="宋体"/>
          <w:sz w:val="24"/>
          <w:szCs w:val="24"/>
        </w:rPr>
        <w:fldChar w:fldCharType="end"/>
      </w:r>
    </w:p>
    <w:p w14:paraId="45F5DA21">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"_Toc521509462" </w:instrText>
      </w:r>
      <w:r>
        <w:fldChar w:fldCharType="separate"/>
      </w:r>
      <w:r>
        <w:rPr>
          <w:rStyle w:val="21"/>
          <w:rFonts w:ascii="宋体" w:hAnsi="宋体"/>
          <w:sz w:val="24"/>
          <w:szCs w:val="24"/>
        </w:rPr>
        <w:t>8.3</w:t>
      </w:r>
      <w:r>
        <w:rPr>
          <w:rStyle w:val="21"/>
          <w:rFonts w:hint="eastAsia" w:ascii="宋体" w:hAnsi="宋体"/>
          <w:sz w:val="24"/>
          <w:szCs w:val="24"/>
        </w:rPr>
        <w:t>产品和服务的设计和开发</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_Toc521509462 \h </w:instrText>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r>
        <w:rPr>
          <w:rFonts w:ascii="宋体" w:hAnsi="宋体"/>
          <w:sz w:val="24"/>
          <w:szCs w:val="24"/>
        </w:rPr>
        <w:fldChar w:fldCharType="end"/>
      </w:r>
    </w:p>
    <w:p w14:paraId="6A1062A3">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"_Toc521509463" </w:instrText>
      </w:r>
      <w:r>
        <w:fldChar w:fldCharType="separate"/>
      </w:r>
      <w:r>
        <w:rPr>
          <w:rStyle w:val="21"/>
          <w:rFonts w:ascii="宋体" w:hAnsi="宋体"/>
          <w:sz w:val="24"/>
          <w:szCs w:val="24"/>
        </w:rPr>
        <w:t>8.4</w:t>
      </w:r>
      <w:r>
        <w:rPr>
          <w:rStyle w:val="21"/>
          <w:rFonts w:hint="eastAsia" w:ascii="宋体" w:hAnsi="宋体"/>
          <w:sz w:val="24"/>
          <w:szCs w:val="24"/>
        </w:rPr>
        <w:t>外部提供的过程、产品和服务的控制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_Toc521509463 \h </w:instrText>
      </w:r>
      <w:r>
        <w:rPr>
          <w:rFonts w:ascii="宋体" w:hAnsi="宋体"/>
          <w:sz w:val="24"/>
          <w:szCs w:val="24"/>
        </w:rPr>
        <w:fldChar w:fldCharType="separate"/>
      </w:r>
      <w:r>
        <w:rPr>
          <w:rFonts w:ascii="宋体" w:hAnsi="宋体"/>
          <w:sz w:val="24"/>
          <w:szCs w:val="24"/>
        </w:rPr>
        <w:t>31</w:t>
      </w:r>
      <w:r>
        <w:rPr>
          <w:rFonts w:ascii="宋体" w:hAnsi="宋体"/>
          <w:sz w:val="24"/>
          <w:szCs w:val="24"/>
        </w:rPr>
        <w:fldChar w:fldCharType="end"/>
      </w:r>
      <w:r>
        <w:rPr>
          <w:rFonts w:ascii="宋体" w:hAnsi="宋体"/>
          <w:sz w:val="24"/>
          <w:szCs w:val="24"/>
        </w:rPr>
        <w:fldChar w:fldCharType="end"/>
      </w:r>
    </w:p>
    <w:p w14:paraId="3E5C0309">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"_Toc521509464" </w:instrText>
      </w:r>
      <w:r>
        <w:fldChar w:fldCharType="separate"/>
      </w:r>
      <w:r>
        <w:rPr>
          <w:rStyle w:val="21"/>
          <w:rFonts w:ascii="宋体" w:hAnsi="宋体"/>
          <w:sz w:val="24"/>
          <w:szCs w:val="24"/>
        </w:rPr>
        <w:t>8.5</w:t>
      </w:r>
      <w:r>
        <w:rPr>
          <w:rStyle w:val="21"/>
          <w:rFonts w:hint="eastAsia" w:ascii="宋体" w:hAnsi="宋体"/>
          <w:sz w:val="24"/>
          <w:szCs w:val="24"/>
        </w:rPr>
        <w:t>生产和服务提供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_Toc521509464 \h </w:instrText>
      </w:r>
      <w:r>
        <w:rPr>
          <w:rFonts w:ascii="宋体" w:hAnsi="宋体"/>
          <w:sz w:val="24"/>
          <w:szCs w:val="24"/>
        </w:rPr>
        <w:fldChar w:fldCharType="separate"/>
      </w:r>
      <w:r>
        <w:rPr>
          <w:rFonts w:ascii="宋体" w:hAnsi="宋体"/>
          <w:sz w:val="24"/>
          <w:szCs w:val="24"/>
        </w:rPr>
        <w:t>33</w:t>
      </w:r>
      <w:r>
        <w:rPr>
          <w:rFonts w:ascii="宋体" w:hAnsi="宋体"/>
          <w:sz w:val="24"/>
          <w:szCs w:val="24"/>
        </w:rPr>
        <w:fldChar w:fldCharType="end"/>
      </w:r>
      <w:r>
        <w:rPr>
          <w:rFonts w:ascii="宋体" w:hAnsi="宋体"/>
          <w:sz w:val="24"/>
          <w:szCs w:val="24"/>
        </w:rPr>
        <w:fldChar w:fldCharType="end"/>
      </w:r>
    </w:p>
    <w:p w14:paraId="07E9A7CC">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"_Toc521509465" </w:instrText>
      </w:r>
      <w:r>
        <w:fldChar w:fldCharType="separate"/>
      </w:r>
      <w:r>
        <w:rPr>
          <w:rStyle w:val="21"/>
          <w:rFonts w:ascii="宋体" w:hAnsi="宋体"/>
          <w:sz w:val="24"/>
          <w:szCs w:val="24"/>
        </w:rPr>
        <w:t xml:space="preserve">8.6 </w:t>
      </w:r>
      <w:r>
        <w:rPr>
          <w:rStyle w:val="21"/>
          <w:rFonts w:hint="eastAsia" w:ascii="宋体" w:hAnsi="宋体"/>
          <w:sz w:val="24"/>
          <w:szCs w:val="24"/>
        </w:rPr>
        <w:t>产品和服务的放行</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_Toc521509465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365F655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"_Toc521509466" </w:instrText>
      </w:r>
      <w:r>
        <w:fldChar w:fldCharType="separate"/>
      </w:r>
      <w:r>
        <w:rPr>
          <w:rStyle w:val="21"/>
          <w:rFonts w:ascii="宋体" w:hAnsi="宋体"/>
          <w:sz w:val="24"/>
          <w:szCs w:val="24"/>
        </w:rPr>
        <w:t xml:space="preserve">8.7 </w:t>
      </w:r>
      <w:r>
        <w:rPr>
          <w:rStyle w:val="21"/>
          <w:rFonts w:hint="eastAsia" w:ascii="宋体" w:hAnsi="宋体"/>
          <w:sz w:val="24"/>
          <w:szCs w:val="24"/>
        </w:rPr>
        <w:t>不合格输出的控制</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_Toc521509466 \h </w:instrText>
      </w:r>
      <w:r>
        <w:rPr>
          <w:rFonts w:ascii="宋体" w:hAnsi="宋体"/>
          <w:sz w:val="24"/>
          <w:szCs w:val="24"/>
        </w:rPr>
        <w:fldChar w:fldCharType="separate"/>
      </w:r>
      <w:r>
        <w:rPr>
          <w:rFonts w:ascii="宋体" w:hAnsi="宋体"/>
          <w:sz w:val="24"/>
          <w:szCs w:val="24"/>
        </w:rPr>
        <w:t>37</w:t>
      </w:r>
      <w:r>
        <w:rPr>
          <w:rFonts w:ascii="宋体" w:hAnsi="宋体"/>
          <w:sz w:val="24"/>
          <w:szCs w:val="24"/>
        </w:rPr>
        <w:fldChar w:fldCharType="end"/>
      </w:r>
      <w:r>
        <w:rPr>
          <w:rFonts w:ascii="宋体" w:hAnsi="宋体"/>
          <w:sz w:val="24"/>
          <w:szCs w:val="24"/>
        </w:rPr>
        <w:fldChar w:fldCharType="end"/>
      </w:r>
    </w:p>
    <w:p w14:paraId="56344908">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"_Toc521509467" </w:instrText>
      </w:r>
      <w:r>
        <w:fldChar w:fldCharType="separate"/>
      </w:r>
      <w:r>
        <w:rPr>
          <w:rStyle w:val="21"/>
          <w:rFonts w:ascii="宋体" w:hAnsi="宋体"/>
          <w:sz w:val="24"/>
          <w:szCs w:val="24"/>
        </w:rPr>
        <w:t>9</w:t>
      </w:r>
      <w:r>
        <w:rPr>
          <w:rStyle w:val="21"/>
          <w:rFonts w:hint="eastAsia" w:ascii="宋体" w:hAnsi="宋体"/>
          <w:sz w:val="24"/>
          <w:szCs w:val="24"/>
        </w:rPr>
        <w:t>绩效评价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_Toc521509467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566F7634">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"_Toc521509468" </w:instrText>
      </w:r>
      <w:r>
        <w:fldChar w:fldCharType="separate"/>
      </w:r>
      <w:r>
        <w:rPr>
          <w:rStyle w:val="21"/>
          <w:rFonts w:ascii="宋体" w:hAnsi="宋体"/>
          <w:sz w:val="24"/>
          <w:szCs w:val="24"/>
        </w:rPr>
        <w:t xml:space="preserve">9.1 </w:t>
      </w:r>
      <w:r>
        <w:rPr>
          <w:rStyle w:val="21"/>
          <w:rFonts w:hint="eastAsia" w:ascii="宋体" w:hAnsi="宋体"/>
          <w:sz w:val="24"/>
          <w:szCs w:val="24"/>
        </w:rPr>
        <w:t>监视、测量、分析和评价</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_Toc521509468 \h </w:instrText>
      </w:r>
      <w:r>
        <w:rPr>
          <w:rFonts w:ascii="宋体" w:hAnsi="宋体"/>
          <w:sz w:val="24"/>
          <w:szCs w:val="24"/>
        </w:rPr>
        <w:fldChar w:fldCharType="separate"/>
      </w:r>
      <w:r>
        <w:rPr>
          <w:rFonts w:ascii="宋体" w:hAnsi="宋体"/>
          <w:sz w:val="24"/>
          <w:szCs w:val="24"/>
        </w:rPr>
        <w:t>39</w:t>
      </w:r>
      <w:r>
        <w:rPr>
          <w:rFonts w:ascii="宋体" w:hAnsi="宋体"/>
          <w:sz w:val="24"/>
          <w:szCs w:val="24"/>
        </w:rPr>
        <w:fldChar w:fldCharType="end"/>
      </w:r>
      <w:r>
        <w:rPr>
          <w:rFonts w:ascii="宋体" w:hAnsi="宋体"/>
          <w:sz w:val="24"/>
          <w:szCs w:val="24"/>
        </w:rPr>
        <w:fldChar w:fldCharType="end"/>
      </w:r>
    </w:p>
    <w:p w14:paraId="6BD5F850">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"_Toc521509469" </w:instrText>
      </w:r>
      <w:r>
        <w:fldChar w:fldCharType="separate"/>
      </w:r>
      <w:r>
        <w:rPr>
          <w:rStyle w:val="21"/>
          <w:rFonts w:ascii="宋体" w:hAnsi="宋体"/>
          <w:sz w:val="24"/>
          <w:szCs w:val="24"/>
        </w:rPr>
        <w:t xml:space="preserve">9.2 </w:t>
      </w:r>
      <w:r>
        <w:rPr>
          <w:rStyle w:val="21"/>
          <w:rFonts w:hint="eastAsia" w:ascii="宋体" w:hAnsi="宋体"/>
          <w:sz w:val="24"/>
          <w:szCs w:val="24"/>
        </w:rPr>
        <w:t xml:space="preserve">内部审核 </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_Toc521509469 \h </w:instrText>
      </w:r>
      <w:r>
        <w:rPr>
          <w:rFonts w:ascii="宋体" w:hAnsi="宋体"/>
          <w:sz w:val="24"/>
          <w:szCs w:val="24"/>
        </w:rPr>
        <w:fldChar w:fldCharType="separate"/>
      </w:r>
      <w:r>
        <w:rPr>
          <w:rFonts w:ascii="宋体" w:hAnsi="宋体"/>
          <w:sz w:val="24"/>
          <w:szCs w:val="24"/>
        </w:rPr>
        <w:t>40</w:t>
      </w:r>
      <w:r>
        <w:rPr>
          <w:rFonts w:ascii="宋体" w:hAnsi="宋体"/>
          <w:sz w:val="24"/>
          <w:szCs w:val="24"/>
        </w:rPr>
        <w:fldChar w:fldCharType="end"/>
      </w:r>
      <w:r>
        <w:rPr>
          <w:rFonts w:ascii="宋体" w:hAnsi="宋体"/>
          <w:sz w:val="24"/>
          <w:szCs w:val="24"/>
        </w:rPr>
        <w:fldChar w:fldCharType="end"/>
      </w:r>
    </w:p>
    <w:p w14:paraId="57FED3A4">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"_Toc521509470" </w:instrText>
      </w:r>
      <w:r>
        <w:fldChar w:fldCharType="separate"/>
      </w:r>
      <w:r>
        <w:rPr>
          <w:rStyle w:val="21"/>
          <w:rFonts w:ascii="宋体" w:hAnsi="宋体"/>
          <w:sz w:val="24"/>
          <w:szCs w:val="24"/>
        </w:rPr>
        <w:t xml:space="preserve">9.3 </w:t>
      </w:r>
      <w:r>
        <w:rPr>
          <w:rStyle w:val="21"/>
          <w:rFonts w:hint="eastAsia" w:ascii="宋体" w:hAnsi="宋体"/>
          <w:sz w:val="24"/>
          <w:szCs w:val="24"/>
        </w:rPr>
        <w:t>管理评审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_Toc521509470 \h </w:instrText>
      </w:r>
      <w:r>
        <w:rPr>
          <w:rFonts w:ascii="宋体" w:hAnsi="宋体"/>
          <w:sz w:val="24"/>
          <w:szCs w:val="24"/>
        </w:rPr>
        <w:fldChar w:fldCharType="separate"/>
      </w:r>
      <w:r>
        <w:rPr>
          <w:rFonts w:ascii="宋体" w:hAnsi="宋体"/>
          <w:sz w:val="24"/>
          <w:szCs w:val="24"/>
        </w:rPr>
        <w:t>41</w:t>
      </w:r>
      <w:r>
        <w:rPr>
          <w:rFonts w:ascii="宋体" w:hAnsi="宋体"/>
          <w:sz w:val="24"/>
          <w:szCs w:val="24"/>
        </w:rPr>
        <w:fldChar w:fldCharType="end"/>
      </w:r>
      <w:r>
        <w:rPr>
          <w:rFonts w:ascii="宋体" w:hAnsi="宋体"/>
          <w:sz w:val="24"/>
          <w:szCs w:val="24"/>
        </w:rPr>
        <w:fldChar w:fldCharType="end"/>
      </w:r>
    </w:p>
    <w:p w14:paraId="1FBECCD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"_Toc521509471" </w:instrText>
      </w:r>
      <w:r>
        <w:fldChar w:fldCharType="separate"/>
      </w:r>
      <w:r>
        <w:rPr>
          <w:rStyle w:val="21"/>
          <w:rFonts w:ascii="宋体" w:hAnsi="宋体"/>
          <w:sz w:val="24"/>
          <w:szCs w:val="24"/>
        </w:rPr>
        <w:t>10</w:t>
      </w:r>
      <w:r>
        <w:rPr>
          <w:rStyle w:val="21"/>
          <w:rFonts w:hint="eastAsia" w:ascii="宋体" w:hAnsi="宋体"/>
          <w:sz w:val="24"/>
          <w:szCs w:val="24"/>
        </w:rPr>
        <w:t>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_Toc521509471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2C507BAF">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"_Toc521509472" </w:instrText>
      </w:r>
      <w:r>
        <w:fldChar w:fldCharType="separate"/>
      </w:r>
      <w:r>
        <w:rPr>
          <w:rStyle w:val="21"/>
          <w:rFonts w:ascii="宋体" w:hAnsi="宋体"/>
          <w:sz w:val="24"/>
          <w:szCs w:val="24"/>
        </w:rPr>
        <w:t xml:space="preserve">10.1 </w:t>
      </w:r>
      <w:r>
        <w:rPr>
          <w:rStyle w:val="21"/>
          <w:rFonts w:hint="eastAsia" w:ascii="宋体" w:hAnsi="宋体"/>
          <w:sz w:val="24"/>
          <w:szCs w:val="24"/>
        </w:rPr>
        <w:t>总则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_Toc521509472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51AE1BDD">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"_Toc521509473" </w:instrText>
      </w:r>
      <w:r>
        <w:fldChar w:fldCharType="separate"/>
      </w:r>
      <w:r>
        <w:rPr>
          <w:rStyle w:val="21"/>
          <w:rFonts w:ascii="宋体" w:hAnsi="宋体"/>
          <w:sz w:val="24"/>
          <w:szCs w:val="24"/>
        </w:rPr>
        <w:t xml:space="preserve">10.2 </w:t>
      </w:r>
      <w:r>
        <w:rPr>
          <w:rStyle w:val="21"/>
          <w:rFonts w:hint="eastAsia" w:ascii="宋体" w:hAnsi="宋体"/>
          <w:sz w:val="24"/>
          <w:szCs w:val="24"/>
        </w:rPr>
        <w:t>不合格和纠正措施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_Toc521509473 \h </w:instrText>
      </w:r>
      <w:r>
        <w:rPr>
          <w:rFonts w:ascii="宋体" w:hAnsi="宋体"/>
          <w:sz w:val="24"/>
          <w:szCs w:val="24"/>
        </w:rPr>
        <w:fldChar w:fldCharType="separate"/>
      </w:r>
      <w:r>
        <w:rPr>
          <w:rFonts w:ascii="宋体" w:hAnsi="宋体"/>
          <w:sz w:val="24"/>
          <w:szCs w:val="24"/>
        </w:rPr>
        <w:t>43</w:t>
      </w:r>
      <w:r>
        <w:rPr>
          <w:rFonts w:ascii="宋体" w:hAnsi="宋体"/>
          <w:sz w:val="24"/>
          <w:szCs w:val="24"/>
        </w:rPr>
        <w:fldChar w:fldCharType="end"/>
      </w:r>
      <w:r>
        <w:rPr>
          <w:rFonts w:ascii="宋体" w:hAnsi="宋体"/>
          <w:sz w:val="24"/>
          <w:szCs w:val="24"/>
        </w:rPr>
        <w:fldChar w:fldCharType="end"/>
      </w:r>
    </w:p>
    <w:p w14:paraId="2E380F82">
      <w:pPr>
        <w:pStyle w:val="13"/>
        <w:tabs>
          <w:tab w:val="right" w:leader="dot" w:pos="8296"/>
        </w:tabs>
        <w:spacing w:line="420" w:lineRule="exact"/>
        <w:ind w:left="560"/>
        <w:rPr>
          <w:rFonts w:ascii="宋体" w:hAnsi="宋体" w:cs="Times New Roman"/>
          <w:kern w:val="2"/>
          <w:sz w:val="24"/>
          <w:szCs w:val="24"/>
        </w:rPr>
      </w:pPr>
      <w:r>
        <w:fldChar w:fldCharType="begin"/>
      </w:r>
      <w:r>
        <w:instrText xml:space="preserve"> HYPERLINK \l "_Toc521509474" </w:instrText>
      </w:r>
      <w:r>
        <w:fldChar w:fldCharType="separate"/>
      </w:r>
      <w:r>
        <w:rPr>
          <w:rStyle w:val="21"/>
          <w:rFonts w:ascii="宋体" w:hAnsi="宋体"/>
          <w:sz w:val="24"/>
          <w:szCs w:val="24"/>
        </w:rPr>
        <w:t xml:space="preserve">10.3 </w:t>
      </w:r>
      <w:r>
        <w:rPr>
          <w:rStyle w:val="21"/>
          <w:rFonts w:hint="eastAsia" w:ascii="宋体" w:hAnsi="宋体"/>
          <w:sz w:val="24"/>
          <w:szCs w:val="24"/>
        </w:rPr>
        <w:t>持续改进</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_Toc521509474 \h </w:instrText>
      </w:r>
      <w:r>
        <w:rPr>
          <w:rFonts w:ascii="宋体" w:hAnsi="宋体"/>
          <w:sz w:val="24"/>
          <w:szCs w:val="24"/>
        </w:rPr>
        <w:fldChar w:fldCharType="separate"/>
      </w:r>
      <w:r>
        <w:rPr>
          <w:rFonts w:ascii="宋体" w:hAnsi="宋体"/>
          <w:sz w:val="24"/>
          <w:szCs w:val="24"/>
        </w:rPr>
        <w:t>44</w:t>
      </w:r>
      <w:r>
        <w:rPr>
          <w:rFonts w:ascii="宋体" w:hAnsi="宋体"/>
          <w:sz w:val="24"/>
          <w:szCs w:val="24"/>
        </w:rPr>
        <w:fldChar w:fldCharType="end"/>
      </w:r>
      <w:r>
        <w:rPr>
          <w:rFonts w:ascii="宋体" w:hAnsi="宋体"/>
          <w:sz w:val="24"/>
          <w:szCs w:val="24"/>
        </w:rPr>
        <w:fldChar w:fldCharType="end"/>
      </w:r>
    </w:p>
    <w:p w14:paraId="61A295C6">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"_Toc521509475"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A  </w:t>
      </w:r>
      <w:r>
        <w:rPr>
          <w:rStyle w:val="21"/>
          <w:rFonts w:hint="eastAsia" w:ascii="宋体" w:hAnsi="宋体" w:cs="宋体"/>
          <w:sz w:val="24"/>
          <w:szCs w:val="24"/>
        </w:rPr>
        <w:t>产品适用的法律、法规及标准目录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_Toc521509475 \h </w:instrText>
      </w:r>
      <w:r>
        <w:rPr>
          <w:rFonts w:ascii="宋体" w:hAnsi="宋体"/>
          <w:sz w:val="24"/>
          <w:szCs w:val="24"/>
        </w:rPr>
        <w:fldChar w:fldCharType="separate"/>
      </w:r>
      <w:r>
        <w:rPr>
          <w:rFonts w:ascii="宋体" w:hAnsi="宋体"/>
          <w:sz w:val="24"/>
          <w:szCs w:val="24"/>
        </w:rPr>
        <w:t>45</w:t>
      </w:r>
      <w:r>
        <w:rPr>
          <w:rFonts w:ascii="宋体" w:hAnsi="宋体"/>
          <w:sz w:val="24"/>
          <w:szCs w:val="24"/>
        </w:rPr>
        <w:fldChar w:fldCharType="end"/>
      </w:r>
      <w:r>
        <w:rPr>
          <w:rFonts w:ascii="宋体" w:hAnsi="宋体"/>
          <w:sz w:val="24"/>
          <w:szCs w:val="24"/>
        </w:rPr>
        <w:fldChar w:fldCharType="end"/>
      </w:r>
    </w:p>
    <w:p w14:paraId="23C6D74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"_Toc521509476"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B  </w:t>
      </w:r>
      <w:r>
        <w:rPr>
          <w:rStyle w:val="21"/>
          <w:rFonts w:hint="eastAsia" w:ascii="宋体" w:hAnsi="宋体" w:cs="宋体"/>
          <w:sz w:val="24"/>
          <w:szCs w:val="24"/>
          <w:lang w:eastAsia="zh-CN"/>
        </w:rPr>
        <w:t>{companyName}</w:t>
      </w:r>
      <w:r>
        <w:rPr>
          <w:rStyle w:val="21"/>
          <w:rFonts w:hint="eastAsia" w:ascii="宋体" w:hAnsi="宋体" w:cs="宋体"/>
          <w:sz w:val="24"/>
          <w:szCs w:val="24"/>
        </w:rPr>
        <w:t>组织结构图</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_Toc521509476 \h </w:instrText>
      </w:r>
      <w:r>
        <w:rPr>
          <w:rFonts w:ascii="宋体" w:hAnsi="宋体"/>
          <w:sz w:val="24"/>
          <w:szCs w:val="24"/>
        </w:rPr>
        <w:fldChar w:fldCharType="separate"/>
      </w:r>
      <w:r>
        <w:rPr>
          <w:rFonts w:ascii="宋体" w:hAnsi="宋体"/>
          <w:sz w:val="24"/>
          <w:szCs w:val="24"/>
        </w:rPr>
        <w:t>46</w:t>
      </w:r>
      <w:r>
        <w:rPr>
          <w:rFonts w:ascii="宋体" w:hAnsi="宋体"/>
          <w:sz w:val="24"/>
          <w:szCs w:val="24"/>
        </w:rPr>
        <w:fldChar w:fldCharType="end"/>
      </w:r>
      <w:r>
        <w:rPr>
          <w:rFonts w:ascii="宋体" w:hAnsi="宋体"/>
          <w:sz w:val="24"/>
          <w:szCs w:val="24"/>
        </w:rPr>
        <w:fldChar w:fldCharType="end"/>
      </w:r>
    </w:p>
    <w:p w14:paraId="2D2FE131">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"_Toc521509477"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C  </w:t>
      </w:r>
      <w:r>
        <w:rPr>
          <w:rStyle w:val="21"/>
          <w:rFonts w:hint="eastAsia" w:ascii="宋体" w:hAnsi="宋体" w:cs="宋体"/>
          <w:sz w:val="24"/>
          <w:szCs w:val="24"/>
          <w:lang w:eastAsia="zh-CN"/>
        </w:rPr>
        <w:t>{companyName}</w:t>
      </w:r>
      <w:r>
        <w:rPr>
          <w:rStyle w:val="21"/>
          <w:rFonts w:hint="eastAsia" w:ascii="宋体" w:hAnsi="宋体" w:cs="宋体"/>
          <w:snapToGrid w:val="0"/>
          <w:sz w:val="24"/>
          <w:szCs w:val="24"/>
        </w:rPr>
        <w:t>质量管理体系职能分配表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_Toc521509477 \h </w:instrText>
      </w:r>
      <w:r>
        <w:rPr>
          <w:rFonts w:ascii="宋体" w:hAnsi="宋体"/>
          <w:sz w:val="24"/>
          <w:szCs w:val="24"/>
        </w:rPr>
        <w:fldChar w:fldCharType="separate"/>
      </w:r>
      <w:r>
        <w:rPr>
          <w:rFonts w:ascii="宋体" w:hAnsi="宋体"/>
          <w:sz w:val="24"/>
          <w:szCs w:val="24"/>
        </w:rPr>
        <w:t>47</w:t>
      </w:r>
      <w:r>
        <w:rPr>
          <w:rFonts w:ascii="宋体" w:hAnsi="宋体"/>
          <w:sz w:val="24"/>
          <w:szCs w:val="24"/>
        </w:rPr>
        <w:fldChar w:fldCharType="end"/>
      </w:r>
      <w:r>
        <w:rPr>
          <w:rFonts w:ascii="宋体" w:hAnsi="宋体"/>
          <w:sz w:val="24"/>
          <w:szCs w:val="24"/>
        </w:rPr>
        <w:fldChar w:fldCharType="end"/>
      </w:r>
    </w:p>
    <w:p w14:paraId="02AA8E41">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"_Toc521509478"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D  </w:t>
      </w:r>
      <w:r>
        <w:rPr>
          <w:rStyle w:val="21"/>
          <w:rFonts w:hint="eastAsia" w:ascii="宋体" w:hAnsi="宋体" w:cs="宋体"/>
          <w:sz w:val="24"/>
          <w:szCs w:val="24"/>
        </w:rPr>
        <w:t>产品和服务实现过程图</w:t>
      </w:r>
      <w:r>
        <w:rPr>
          <w:rFonts w:ascii="宋体" w:hAnsi="宋体"/>
          <w:sz w:val="24"/>
          <w:szCs w:val="24"/>
        </w:rPr>
        <w:tab/>
      </w:r>
      <w:r>
        <w:rPr>
          <w:rFonts w:hint="eastAsia" w:ascii="宋体" w:hAnsi="宋体"/>
          <w:sz w:val="24"/>
          <w:szCs w:val="24"/>
          <w:lang w:val="en-US" w:eastAsia="zh-CN"/>
        </w:rPr>
        <w:t>51</w:t>
      </w:r>
      <w:r>
        <w:rPr>
          <w:rFonts w:ascii="宋体" w:hAnsi="宋体"/>
          <w:sz w:val="24"/>
          <w:szCs w:val="24"/>
        </w:rPr>
        <w:fldChar w:fldCharType="end"/>
      </w:r>
    </w:p>
    <w:p w14:paraId="3A189235">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"_Toc521509479" </w:instrText>
      </w:r>
      <w:r>
        <w:fldChar w:fldCharType="separate"/>
      </w:r>
      <w:r>
        <w:rPr>
          <w:rStyle w:val="21"/>
          <w:rFonts w:hint="eastAsia" w:ascii="宋体" w:hAnsi="宋体" w:cs="宋体"/>
          <w:sz w:val="24"/>
          <w:szCs w:val="24"/>
        </w:rPr>
        <w:t>附录</w:t>
      </w:r>
      <w:r>
        <w:rPr>
          <w:rStyle w:val="21"/>
          <w:rFonts w:ascii="宋体" w:hAnsi="宋体" w:cs="宋体"/>
          <w:sz w:val="24"/>
          <w:szCs w:val="24"/>
        </w:rPr>
        <w:t xml:space="preserve">E  </w:t>
      </w:r>
      <w:r>
        <w:rPr>
          <w:rStyle w:val="21"/>
          <w:rFonts w:hint="eastAsia" w:ascii="宋体" w:hAnsi="宋体" w:cs="宋体"/>
          <w:sz w:val="24"/>
          <w:szCs w:val="24"/>
        </w:rPr>
        <w:t>程序文件目录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_Toc521509479 \h </w:instrText>
      </w:r>
      <w:r>
        <w:rPr>
          <w:rFonts w:ascii="宋体" w:hAnsi="宋体"/>
          <w:sz w:val="24"/>
          <w:szCs w:val="24"/>
        </w:rPr>
        <w:fldChar w:fldCharType="separate"/>
      </w:r>
      <w:r>
        <w:rPr>
          <w:rFonts w:ascii="宋体" w:hAnsi="宋体"/>
          <w:sz w:val="24"/>
          <w:szCs w:val="24"/>
        </w:rPr>
        <w:t>51</w:t>
      </w:r>
      <w:r>
        <w:rPr>
          <w:rFonts w:ascii="宋体" w:hAnsi="宋体"/>
          <w:sz w:val="24"/>
          <w:szCs w:val="24"/>
        </w:rPr>
        <w:fldChar w:fldCharType="end"/>
      </w:r>
      <w:r>
        <w:rPr>
          <w:rFonts w:ascii="宋体" w:hAnsi="宋体"/>
          <w:sz w:val="24"/>
          <w:szCs w:val="24"/>
        </w:rPr>
        <w:fldChar w:fldCharType="end"/>
      </w:r>
    </w:p>
    <w:p w14:paraId="05F7BC7A">
      <w:pPr>
        <w:pStyle w:val="12"/>
        <w:tabs>
          <w:tab w:val="right" w:leader="dot" w:pos="8296"/>
        </w:tabs>
        <w:spacing w:line="420" w:lineRule="exact"/>
        <w:rPr>
          <w:rFonts w:ascii="宋体" w:hAnsi="宋体" w:cs="Times New Roman"/>
          <w:kern w:val="2"/>
          <w:sz w:val="24"/>
          <w:szCs w:val="24"/>
        </w:rPr>
      </w:pPr>
      <w:r>
        <w:fldChar w:fldCharType="begin"/>
      </w:r>
      <w:r>
        <w:instrText xml:space="preserve"> HYPERLINK \l "_Toc521509481" </w:instrText>
      </w:r>
      <w:r>
        <w:fldChar w:fldCharType="separate"/>
      </w:r>
      <w:r>
        <w:rPr>
          <w:rStyle w:val="21"/>
          <w:rFonts w:hint="eastAsia" w:ascii="宋体" w:hAnsi="宋体" w:cs="宋体"/>
          <w:sz w:val="24"/>
          <w:szCs w:val="24"/>
        </w:rPr>
        <w:t>附录F</w:t>
      </w:r>
      <w:r>
        <w:rPr>
          <w:rStyle w:val="21"/>
          <w:rFonts w:ascii="宋体" w:hAnsi="宋体" w:cs="宋体"/>
          <w:sz w:val="24"/>
          <w:szCs w:val="24"/>
        </w:rPr>
        <w:t xml:space="preserve">  </w:t>
      </w:r>
      <w:r>
        <w:rPr>
          <w:rStyle w:val="21"/>
          <w:rFonts w:hint="eastAsia" w:ascii="宋体" w:hAnsi="宋体" w:cs="宋体"/>
          <w:sz w:val="24"/>
          <w:szCs w:val="24"/>
        </w:rPr>
        <w:t>过程识别一览表</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_Toc521509481 \h </w:instrText>
      </w:r>
      <w:r>
        <w:rPr>
          <w:rFonts w:ascii="宋体" w:hAnsi="宋体"/>
          <w:sz w:val="24"/>
          <w:szCs w:val="24"/>
        </w:rPr>
        <w:fldChar w:fldCharType="separate"/>
      </w:r>
      <w:r>
        <w:rPr>
          <w:rFonts w:ascii="宋体" w:hAnsi="宋体"/>
          <w:sz w:val="24"/>
          <w:szCs w:val="24"/>
        </w:rPr>
        <w:t>54</w:t>
      </w:r>
      <w:r>
        <w:rPr>
          <w:rFonts w:ascii="宋体" w:hAnsi="宋体"/>
          <w:sz w:val="24"/>
          <w:szCs w:val="24"/>
        </w:rPr>
        <w:fldChar w:fldCharType="end"/>
      </w:r>
      <w:r>
        <w:rPr>
          <w:rFonts w:ascii="宋体" w:hAnsi="宋体"/>
          <w:sz w:val="24"/>
          <w:szCs w:val="24"/>
        </w:rPr>
        <w:fldChar w:fldCharType="end"/>
      </w:r>
    </w:p>
    <w:p w14:paraId="06E85C3B">
      <w:pPr>
        <w:widowControl/>
        <w:spacing w:line="420" w:lineRule="exact"/>
        <w:jc w:val="left"/>
        <w:rPr>
          <w:rFonts w:ascii="宋体" w:hAnsi="宋体"/>
          <w:sz w:val="24"/>
          <w:szCs w:val="24"/>
        </w:rPr>
      </w:pPr>
      <w:r>
        <w:rPr>
          <w:rFonts w:ascii="宋体" w:hAnsi="宋体"/>
          <w:sz w:val="24"/>
          <w:szCs w:val="24"/>
        </w:rPr>
        <w:fldChar w:fldCharType="end"/>
      </w:r>
    </w:p>
    <w:p w14:paraId="4B81FB88">
      <w:pPr>
        <w:widowControl/>
        <w:spacing w:line="360" w:lineRule="auto"/>
        <w:jc w:val="left"/>
        <w:rPr>
          <w:sz w:val="24"/>
          <w:szCs w:val="24"/>
        </w:rPr>
        <w:sectPr>
          <w:type w:val="continuous"/>
          <w:pgSz w:w="11906" w:h="16838"/>
          <w:pgMar w:top="1440" w:right="1800" w:bottom="1440" w:left="1800" w:header="851" w:footer="992" w:gutter="0"/>
          <w:pgNumType w:fmt="upperRoman" w:start="1"/>
          <w:cols w:space="720" w:num="1"/>
          <w:docGrid w:type="lines" w:linePitch="312" w:charSpace="0"/>
        </w:sectPr>
      </w:pPr>
    </w:p>
    <w:p w14:paraId="48AA8888">
      <w:pPr>
        <w:widowControl/>
        <w:jc w:val="left"/>
      </w:pPr>
    </w:p>
    <w:p w14:paraId="3661EFA0">
      <w:pPr>
        <w:jc w:val="center"/>
        <w:outlineLvl w:val="2"/>
        <w:rPr>
          <w:rFonts w:ascii="黑体" w:hAnsi="宋体" w:eastAsia="黑体"/>
          <w:sz w:val="30"/>
          <w:szCs w:val="30"/>
        </w:rPr>
      </w:pPr>
      <w:bookmarkStart w:id="1" w:name="_Toc521509433"/>
      <w:r>
        <w:rPr>
          <w:rFonts w:hint="eastAsia" w:ascii="黑体" w:hAnsi="宋体" w:eastAsia="黑体"/>
          <w:sz w:val="30"/>
          <w:szCs w:val="30"/>
        </w:rPr>
        <w:t>更改控制页</w:t>
      </w:r>
      <w:bookmarkEnd w:id="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1383"/>
        <w:gridCol w:w="1497"/>
        <w:gridCol w:w="1543"/>
        <w:gridCol w:w="1831"/>
      </w:tblGrid>
      <w:tr w14:paraId="5F16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tcPr>
          <w:p w14:paraId="2C747B0C">
            <w:pPr>
              <w:jc w:val="center"/>
              <w:rPr>
                <w:rFonts w:ascii="宋体" w:hAnsi="宋体"/>
                <w:szCs w:val="28"/>
              </w:rPr>
            </w:pPr>
            <w:r>
              <w:rPr>
                <w:rFonts w:hint="eastAsia" w:ascii="宋体" w:hAnsi="宋体"/>
                <w:szCs w:val="28"/>
              </w:rPr>
              <w:t>序号</w:t>
            </w:r>
          </w:p>
        </w:tc>
        <w:tc>
          <w:tcPr>
            <w:tcW w:w="1440" w:type="dxa"/>
            <w:tcBorders>
              <w:top w:val="single" w:color="auto" w:sz="4" w:space="0"/>
              <w:left w:val="single" w:color="auto" w:sz="4" w:space="0"/>
              <w:bottom w:val="single" w:color="auto" w:sz="4" w:space="0"/>
              <w:right w:val="single" w:color="auto" w:sz="4" w:space="0"/>
            </w:tcBorders>
          </w:tcPr>
          <w:p w14:paraId="48CD8A65">
            <w:pPr>
              <w:jc w:val="center"/>
              <w:rPr>
                <w:rFonts w:ascii="宋体" w:hAnsi="宋体"/>
                <w:szCs w:val="28"/>
              </w:rPr>
            </w:pPr>
            <w:r>
              <w:rPr>
                <w:rFonts w:hint="eastAsia" w:ascii="宋体" w:hAnsi="宋体"/>
                <w:szCs w:val="28"/>
              </w:rPr>
              <w:t>更改编号</w:t>
            </w:r>
          </w:p>
        </w:tc>
        <w:tc>
          <w:tcPr>
            <w:tcW w:w="1383" w:type="dxa"/>
            <w:tcBorders>
              <w:top w:val="single" w:color="auto" w:sz="4" w:space="0"/>
              <w:left w:val="single" w:color="auto" w:sz="4" w:space="0"/>
              <w:bottom w:val="single" w:color="auto" w:sz="4" w:space="0"/>
              <w:right w:val="single" w:color="auto" w:sz="4" w:space="0"/>
            </w:tcBorders>
          </w:tcPr>
          <w:p w14:paraId="3ECA6B2E">
            <w:pPr>
              <w:jc w:val="center"/>
              <w:rPr>
                <w:rFonts w:ascii="宋体" w:hAnsi="宋体"/>
                <w:szCs w:val="28"/>
              </w:rPr>
            </w:pPr>
            <w:r>
              <w:rPr>
                <w:rFonts w:hint="eastAsia" w:ascii="宋体" w:hAnsi="宋体"/>
                <w:szCs w:val="28"/>
              </w:rPr>
              <w:t>更改页次</w:t>
            </w:r>
          </w:p>
        </w:tc>
        <w:tc>
          <w:tcPr>
            <w:tcW w:w="1497" w:type="dxa"/>
            <w:tcBorders>
              <w:top w:val="single" w:color="auto" w:sz="4" w:space="0"/>
              <w:left w:val="single" w:color="auto" w:sz="4" w:space="0"/>
              <w:bottom w:val="single" w:color="auto" w:sz="4" w:space="0"/>
              <w:right w:val="single" w:color="auto" w:sz="4" w:space="0"/>
            </w:tcBorders>
          </w:tcPr>
          <w:p w14:paraId="364D456E">
            <w:pPr>
              <w:jc w:val="center"/>
              <w:rPr>
                <w:rFonts w:ascii="宋体" w:hAnsi="宋体"/>
                <w:szCs w:val="28"/>
              </w:rPr>
            </w:pPr>
            <w:r>
              <w:rPr>
                <w:rFonts w:hint="eastAsia" w:ascii="宋体" w:hAnsi="宋体"/>
                <w:szCs w:val="28"/>
              </w:rPr>
              <w:t>签名</w:t>
            </w:r>
          </w:p>
        </w:tc>
        <w:tc>
          <w:tcPr>
            <w:tcW w:w="1543" w:type="dxa"/>
            <w:tcBorders>
              <w:top w:val="single" w:color="auto" w:sz="4" w:space="0"/>
              <w:left w:val="single" w:color="auto" w:sz="4" w:space="0"/>
              <w:bottom w:val="single" w:color="auto" w:sz="4" w:space="0"/>
              <w:right w:val="single" w:color="auto" w:sz="4" w:space="0"/>
            </w:tcBorders>
          </w:tcPr>
          <w:p w14:paraId="716F98B7">
            <w:pPr>
              <w:jc w:val="center"/>
              <w:rPr>
                <w:rFonts w:ascii="宋体" w:hAnsi="宋体"/>
                <w:szCs w:val="28"/>
              </w:rPr>
            </w:pPr>
            <w:r>
              <w:rPr>
                <w:rFonts w:hint="eastAsia" w:ascii="宋体" w:hAnsi="宋体"/>
                <w:szCs w:val="28"/>
              </w:rPr>
              <w:t>日期</w:t>
            </w:r>
          </w:p>
        </w:tc>
        <w:tc>
          <w:tcPr>
            <w:tcW w:w="1831" w:type="dxa"/>
            <w:tcBorders>
              <w:top w:val="single" w:color="auto" w:sz="4" w:space="0"/>
              <w:left w:val="single" w:color="auto" w:sz="4" w:space="0"/>
              <w:bottom w:val="single" w:color="auto" w:sz="4" w:space="0"/>
              <w:right w:val="single" w:color="auto" w:sz="4" w:space="0"/>
            </w:tcBorders>
          </w:tcPr>
          <w:p w14:paraId="73C357BD">
            <w:pPr>
              <w:jc w:val="center"/>
              <w:rPr>
                <w:rFonts w:ascii="宋体" w:hAnsi="宋体"/>
                <w:szCs w:val="28"/>
              </w:rPr>
            </w:pPr>
            <w:r>
              <w:rPr>
                <w:rFonts w:hint="eastAsia" w:ascii="宋体" w:hAnsi="宋体"/>
                <w:szCs w:val="28"/>
              </w:rPr>
              <w:t>备注</w:t>
            </w:r>
          </w:p>
        </w:tc>
      </w:tr>
      <w:tr w14:paraId="3B8F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57A3E78">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41B49BB5">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0C9A90B3">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65DC7A1C">
            <w:pPr>
              <w:spacing w:line="460" w:lineRule="exact"/>
              <w:jc w:val="center"/>
              <w:rPr>
                <w:rFonts w:hint="eastAsia"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52A5FED7">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64A7B56C">
            <w:pPr>
              <w:spacing w:line="460" w:lineRule="exact"/>
              <w:jc w:val="center"/>
              <w:rPr>
                <w:rFonts w:ascii="宋体" w:hAnsi="宋体"/>
                <w:sz w:val="24"/>
                <w:szCs w:val="24"/>
              </w:rPr>
            </w:pPr>
          </w:p>
        </w:tc>
      </w:tr>
      <w:tr w14:paraId="6B25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3AE5105">
            <w:pPr>
              <w:spacing w:line="460" w:lineRule="exact"/>
              <w:jc w:val="center"/>
              <w:rPr>
                <w:rFonts w:hint="eastAsia" w:ascii="宋体" w:hAnsi="宋体" w:eastAsia="宋体"/>
                <w:sz w:val="24"/>
                <w:szCs w:val="24"/>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267C89C1">
            <w:pPr>
              <w:spacing w:line="460" w:lineRule="exact"/>
              <w:jc w:val="center"/>
              <w:rPr>
                <w:rFonts w:hint="eastAsia" w:ascii="宋体" w:hAnsi="宋体" w:eastAsia="宋体"/>
                <w:sz w:val="24"/>
                <w:szCs w:val="24"/>
                <w:lang w:val="en-US" w:eastAsia="zh-CN"/>
              </w:rPr>
            </w:pPr>
          </w:p>
        </w:tc>
        <w:tc>
          <w:tcPr>
            <w:tcW w:w="1383" w:type="dxa"/>
            <w:tcBorders>
              <w:top w:val="single" w:color="auto" w:sz="4" w:space="0"/>
              <w:left w:val="single" w:color="auto" w:sz="4" w:space="0"/>
              <w:bottom w:val="single" w:color="auto" w:sz="4" w:space="0"/>
              <w:right w:val="single" w:color="auto" w:sz="4" w:space="0"/>
            </w:tcBorders>
            <w:vAlign w:val="center"/>
          </w:tcPr>
          <w:p w14:paraId="45DE283B">
            <w:pPr>
              <w:spacing w:line="460" w:lineRule="exact"/>
              <w:jc w:val="center"/>
              <w:rPr>
                <w:rFonts w:hint="default" w:ascii="宋体" w:hAnsi="宋体" w:eastAsia="宋体"/>
                <w:sz w:val="24"/>
                <w:szCs w:val="24"/>
                <w:lang w:val="en-US" w:eastAsia="zh-CN"/>
              </w:rPr>
            </w:pPr>
          </w:p>
        </w:tc>
        <w:tc>
          <w:tcPr>
            <w:tcW w:w="1497" w:type="dxa"/>
            <w:tcBorders>
              <w:top w:val="single" w:color="auto" w:sz="4" w:space="0"/>
              <w:left w:val="single" w:color="auto" w:sz="4" w:space="0"/>
              <w:bottom w:val="single" w:color="auto" w:sz="4" w:space="0"/>
              <w:right w:val="single" w:color="auto" w:sz="4" w:space="0"/>
            </w:tcBorders>
            <w:vAlign w:val="center"/>
          </w:tcPr>
          <w:p w14:paraId="31F8D824">
            <w:pPr>
              <w:spacing w:line="460" w:lineRule="exact"/>
              <w:jc w:val="center"/>
              <w:rPr>
                <w:rFonts w:hint="default" w:ascii="宋体" w:hAnsi="宋体" w:eastAsia="宋体"/>
                <w:sz w:val="24"/>
                <w:szCs w:val="24"/>
                <w:lang w:val="en-US" w:eastAsia="zh-CN"/>
              </w:rPr>
            </w:pPr>
          </w:p>
        </w:tc>
        <w:tc>
          <w:tcPr>
            <w:tcW w:w="1543" w:type="dxa"/>
            <w:tcBorders>
              <w:top w:val="single" w:color="auto" w:sz="4" w:space="0"/>
              <w:left w:val="single" w:color="auto" w:sz="4" w:space="0"/>
              <w:bottom w:val="single" w:color="auto" w:sz="4" w:space="0"/>
              <w:right w:val="single" w:color="auto" w:sz="4" w:space="0"/>
            </w:tcBorders>
            <w:vAlign w:val="center"/>
          </w:tcPr>
          <w:p w14:paraId="2DF57EC6">
            <w:pPr>
              <w:spacing w:line="460" w:lineRule="exact"/>
              <w:jc w:val="center"/>
              <w:rPr>
                <w:rFonts w:hint="default" w:ascii="宋体" w:hAnsi="宋体" w:eastAsia="宋体"/>
                <w:sz w:val="24"/>
                <w:szCs w:val="24"/>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4F18687">
            <w:pPr>
              <w:spacing w:line="460" w:lineRule="exact"/>
              <w:jc w:val="center"/>
              <w:rPr>
                <w:rFonts w:ascii="宋体" w:hAnsi="宋体"/>
                <w:sz w:val="24"/>
                <w:szCs w:val="24"/>
              </w:rPr>
            </w:pPr>
          </w:p>
        </w:tc>
      </w:tr>
      <w:tr w14:paraId="0A46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6BBA495">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6E454D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48AA41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BB32DB6">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0022A4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E70762E">
            <w:pPr>
              <w:spacing w:line="460" w:lineRule="exact"/>
              <w:jc w:val="center"/>
              <w:rPr>
                <w:rFonts w:ascii="宋体" w:hAnsi="宋体"/>
                <w:sz w:val="24"/>
                <w:szCs w:val="24"/>
              </w:rPr>
            </w:pPr>
          </w:p>
        </w:tc>
      </w:tr>
      <w:tr w14:paraId="48BE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54A15E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03A5B5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CBF54EC">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E85E021">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BE0D866">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B2961AE">
            <w:pPr>
              <w:spacing w:line="460" w:lineRule="exact"/>
              <w:jc w:val="center"/>
              <w:rPr>
                <w:rFonts w:ascii="宋体" w:hAnsi="宋体"/>
                <w:sz w:val="24"/>
                <w:szCs w:val="24"/>
              </w:rPr>
            </w:pPr>
          </w:p>
        </w:tc>
      </w:tr>
      <w:tr w14:paraId="60FC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A4F855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37866EF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AA23A34">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392C1E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42E70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4832C6A">
            <w:pPr>
              <w:spacing w:line="460" w:lineRule="exact"/>
              <w:jc w:val="center"/>
              <w:rPr>
                <w:rFonts w:ascii="宋体" w:hAnsi="宋体"/>
                <w:sz w:val="24"/>
                <w:szCs w:val="24"/>
              </w:rPr>
            </w:pPr>
          </w:p>
        </w:tc>
      </w:tr>
      <w:tr w14:paraId="6E6C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4DD4EC6">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DDC2382">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674E4A9">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D122B3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4916488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781FDB5">
            <w:pPr>
              <w:spacing w:line="460" w:lineRule="exact"/>
              <w:jc w:val="center"/>
              <w:rPr>
                <w:rFonts w:ascii="宋体" w:hAnsi="宋体"/>
                <w:sz w:val="24"/>
                <w:szCs w:val="24"/>
              </w:rPr>
            </w:pPr>
          </w:p>
        </w:tc>
      </w:tr>
      <w:tr w14:paraId="393D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254B6E6">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99C7447">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D74E63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9C3E15F">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3BADD1C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0FA284F8">
            <w:pPr>
              <w:spacing w:line="460" w:lineRule="exact"/>
              <w:jc w:val="center"/>
              <w:rPr>
                <w:rFonts w:ascii="宋体" w:hAnsi="宋体"/>
                <w:sz w:val="24"/>
                <w:szCs w:val="24"/>
              </w:rPr>
            </w:pPr>
          </w:p>
        </w:tc>
      </w:tr>
      <w:tr w14:paraId="39E4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3C6EB3B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714223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5D63E1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BA8F59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F0E6E0D">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9855275">
            <w:pPr>
              <w:spacing w:line="460" w:lineRule="exact"/>
              <w:jc w:val="center"/>
              <w:rPr>
                <w:rFonts w:ascii="宋体" w:hAnsi="宋体"/>
                <w:sz w:val="24"/>
                <w:szCs w:val="24"/>
              </w:rPr>
            </w:pPr>
          </w:p>
        </w:tc>
      </w:tr>
      <w:tr w14:paraId="6F43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B0F8FB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A6F393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A4B3F3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BD97EAC">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32C16B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6596A2FE">
            <w:pPr>
              <w:spacing w:line="460" w:lineRule="exact"/>
              <w:jc w:val="center"/>
              <w:rPr>
                <w:rFonts w:ascii="宋体" w:hAnsi="宋体"/>
                <w:sz w:val="24"/>
                <w:szCs w:val="24"/>
              </w:rPr>
            </w:pPr>
          </w:p>
        </w:tc>
      </w:tr>
      <w:tr w14:paraId="6771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21F70CB">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181BFE56">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04FF5F5A">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C9B8C69">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85053FB">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4D91AEB">
            <w:pPr>
              <w:spacing w:line="460" w:lineRule="exact"/>
              <w:jc w:val="center"/>
              <w:rPr>
                <w:rFonts w:ascii="宋体" w:hAnsi="宋体"/>
                <w:sz w:val="24"/>
                <w:szCs w:val="24"/>
              </w:rPr>
            </w:pPr>
          </w:p>
        </w:tc>
      </w:tr>
      <w:tr w14:paraId="11DF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206D4B2">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B09B11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EDCFA26">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2EE9D41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5385950B">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4316648B">
            <w:pPr>
              <w:spacing w:line="460" w:lineRule="exact"/>
              <w:jc w:val="center"/>
              <w:rPr>
                <w:rFonts w:ascii="宋体" w:hAnsi="宋体"/>
                <w:sz w:val="24"/>
                <w:szCs w:val="24"/>
              </w:rPr>
            </w:pPr>
          </w:p>
        </w:tc>
      </w:tr>
      <w:tr w14:paraId="0608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23F22EE">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B6F45A5">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6BB6E62B">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CEB1C7B">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5975D34">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6946E199">
            <w:pPr>
              <w:spacing w:line="460" w:lineRule="exact"/>
              <w:jc w:val="center"/>
              <w:rPr>
                <w:rFonts w:ascii="宋体" w:hAnsi="宋体"/>
                <w:sz w:val="24"/>
                <w:szCs w:val="24"/>
              </w:rPr>
            </w:pPr>
          </w:p>
        </w:tc>
      </w:tr>
      <w:tr w14:paraId="3725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DF6E07F">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3DEEEFD">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5E86D2E">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CB8B69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51AF01">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A9947A0">
            <w:pPr>
              <w:spacing w:line="460" w:lineRule="exact"/>
              <w:jc w:val="center"/>
              <w:rPr>
                <w:rFonts w:ascii="宋体" w:hAnsi="宋体"/>
                <w:sz w:val="24"/>
                <w:szCs w:val="24"/>
              </w:rPr>
            </w:pPr>
          </w:p>
        </w:tc>
      </w:tr>
      <w:tr w14:paraId="33FA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5F4AD6D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758971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7CC017BF">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69A950C8">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F03AEB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77EDC432">
            <w:pPr>
              <w:spacing w:line="460" w:lineRule="exact"/>
              <w:jc w:val="center"/>
              <w:rPr>
                <w:rFonts w:ascii="宋体" w:hAnsi="宋体"/>
                <w:sz w:val="24"/>
                <w:szCs w:val="24"/>
              </w:rPr>
            </w:pPr>
          </w:p>
        </w:tc>
      </w:tr>
      <w:tr w14:paraId="421D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0AA94368">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D303432">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38341C26">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5F160CF1">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14820583">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7276403">
            <w:pPr>
              <w:spacing w:line="460" w:lineRule="exact"/>
              <w:jc w:val="center"/>
              <w:rPr>
                <w:rFonts w:ascii="宋体" w:hAnsi="宋体"/>
                <w:sz w:val="24"/>
                <w:szCs w:val="24"/>
              </w:rPr>
            </w:pPr>
          </w:p>
        </w:tc>
      </w:tr>
      <w:tr w14:paraId="2C41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7F4F06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6A10F5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29CF2E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C784E73">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1A8827D">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3778AD1">
            <w:pPr>
              <w:spacing w:line="460" w:lineRule="exact"/>
              <w:jc w:val="center"/>
              <w:rPr>
                <w:rFonts w:ascii="宋体" w:hAnsi="宋体"/>
                <w:sz w:val="24"/>
                <w:szCs w:val="24"/>
              </w:rPr>
            </w:pPr>
          </w:p>
        </w:tc>
      </w:tr>
      <w:tr w14:paraId="556E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A7749E7">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91C758A">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4854A3F4">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8D705FE">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60A5A4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73CCCBA">
            <w:pPr>
              <w:spacing w:line="460" w:lineRule="exact"/>
              <w:jc w:val="center"/>
              <w:rPr>
                <w:rFonts w:ascii="宋体" w:hAnsi="宋体"/>
                <w:sz w:val="24"/>
                <w:szCs w:val="24"/>
              </w:rPr>
            </w:pPr>
          </w:p>
        </w:tc>
      </w:tr>
      <w:tr w14:paraId="446F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E7395FA">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8482C77">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FA90CCF">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074064B5">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596CC8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C2B3F3C">
            <w:pPr>
              <w:spacing w:line="460" w:lineRule="exact"/>
              <w:jc w:val="center"/>
              <w:rPr>
                <w:rFonts w:ascii="宋体" w:hAnsi="宋体"/>
                <w:sz w:val="24"/>
                <w:szCs w:val="24"/>
              </w:rPr>
            </w:pPr>
          </w:p>
        </w:tc>
      </w:tr>
      <w:tr w14:paraId="53A2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F54818D">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39A5923E">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F0518B8">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46C0578D">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5C3D90C">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24F9049A">
            <w:pPr>
              <w:spacing w:line="460" w:lineRule="exact"/>
              <w:jc w:val="center"/>
              <w:rPr>
                <w:rFonts w:ascii="宋体" w:hAnsi="宋体"/>
                <w:sz w:val="24"/>
                <w:szCs w:val="24"/>
              </w:rPr>
            </w:pPr>
          </w:p>
        </w:tc>
      </w:tr>
      <w:tr w14:paraId="11A3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43E66B21">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2FF4E6F">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257EDD73">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743A2F02">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787D146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515311CC">
            <w:pPr>
              <w:spacing w:line="460" w:lineRule="exact"/>
              <w:jc w:val="center"/>
              <w:rPr>
                <w:rFonts w:ascii="宋体" w:hAnsi="宋体"/>
                <w:sz w:val="24"/>
                <w:szCs w:val="24"/>
              </w:rPr>
            </w:pPr>
          </w:p>
        </w:tc>
      </w:tr>
      <w:tr w14:paraId="63CB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8245B1F">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5A25D1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16F84BA1">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3DFCB2CA">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0E1EDCD7">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1D04FC3B">
            <w:pPr>
              <w:spacing w:line="460" w:lineRule="exact"/>
              <w:jc w:val="center"/>
              <w:rPr>
                <w:rFonts w:ascii="宋体" w:hAnsi="宋体"/>
                <w:sz w:val="24"/>
                <w:szCs w:val="24"/>
              </w:rPr>
            </w:pPr>
          </w:p>
        </w:tc>
      </w:tr>
      <w:tr w14:paraId="6B05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BB2DAF4">
            <w:pPr>
              <w:spacing w:line="460" w:lineRule="exact"/>
              <w:jc w:val="center"/>
              <w:rPr>
                <w:rFonts w:ascii="宋体" w:hAnsi="宋体"/>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D3D2291">
            <w:pPr>
              <w:spacing w:line="460" w:lineRule="exact"/>
              <w:jc w:val="center"/>
              <w:rPr>
                <w:rFonts w:ascii="宋体" w:hAnsi="宋体"/>
                <w:sz w:val="24"/>
                <w:szCs w:val="24"/>
              </w:rPr>
            </w:pPr>
          </w:p>
        </w:tc>
        <w:tc>
          <w:tcPr>
            <w:tcW w:w="1383" w:type="dxa"/>
            <w:tcBorders>
              <w:top w:val="single" w:color="auto" w:sz="4" w:space="0"/>
              <w:left w:val="single" w:color="auto" w:sz="4" w:space="0"/>
              <w:bottom w:val="single" w:color="auto" w:sz="4" w:space="0"/>
              <w:right w:val="single" w:color="auto" w:sz="4" w:space="0"/>
            </w:tcBorders>
            <w:vAlign w:val="center"/>
          </w:tcPr>
          <w:p w14:paraId="5E1E6925">
            <w:pPr>
              <w:spacing w:line="460" w:lineRule="exact"/>
              <w:jc w:val="center"/>
              <w:rPr>
                <w:rFonts w:ascii="宋体" w:hAnsi="宋体"/>
                <w:sz w:val="24"/>
                <w:szCs w:val="24"/>
              </w:rPr>
            </w:pPr>
          </w:p>
        </w:tc>
        <w:tc>
          <w:tcPr>
            <w:tcW w:w="1497" w:type="dxa"/>
            <w:tcBorders>
              <w:top w:val="single" w:color="auto" w:sz="4" w:space="0"/>
              <w:left w:val="single" w:color="auto" w:sz="4" w:space="0"/>
              <w:bottom w:val="single" w:color="auto" w:sz="4" w:space="0"/>
              <w:right w:val="single" w:color="auto" w:sz="4" w:space="0"/>
            </w:tcBorders>
            <w:vAlign w:val="center"/>
          </w:tcPr>
          <w:p w14:paraId="1A1F19F4">
            <w:pPr>
              <w:spacing w:line="460" w:lineRule="exact"/>
              <w:jc w:val="center"/>
              <w:rPr>
                <w:rFonts w:ascii="宋体" w:hAnsi="宋体"/>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2B4C5B39">
            <w:pPr>
              <w:spacing w:line="460" w:lineRule="exact"/>
              <w:jc w:val="center"/>
              <w:rPr>
                <w:rFonts w:ascii="宋体" w:hAnsi="宋体"/>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14:paraId="36F5D184">
            <w:pPr>
              <w:spacing w:line="460" w:lineRule="exact"/>
              <w:jc w:val="center"/>
              <w:rPr>
                <w:rFonts w:ascii="宋体" w:hAnsi="宋体"/>
                <w:sz w:val="24"/>
                <w:szCs w:val="24"/>
              </w:rPr>
            </w:pPr>
          </w:p>
        </w:tc>
      </w:tr>
    </w:tbl>
    <w:p w14:paraId="520CD0E4">
      <w:pPr>
        <w:sectPr>
          <w:pgSz w:w="11906" w:h="16838"/>
          <w:pgMar w:top="1440" w:right="1800" w:bottom="1440" w:left="1800" w:header="851" w:footer="992" w:gutter="0"/>
          <w:pgNumType w:fmt="upperRoman" w:start="1"/>
          <w:cols w:space="720" w:num="1"/>
          <w:docGrid w:type="lines" w:linePitch="312" w:charSpace="0"/>
        </w:sectPr>
      </w:pPr>
    </w:p>
    <w:p w14:paraId="219CA19B">
      <w:pPr>
        <w:jc w:val="center"/>
        <w:rPr>
          <w:rFonts w:ascii="宋体" w:hAnsi="宋体"/>
          <w:szCs w:val="28"/>
        </w:rPr>
      </w:pPr>
    </w:p>
    <w:p w14:paraId="7974DE39">
      <w:pPr>
        <w:spacing w:before="120" w:beforeLines="50" w:after="120" w:afterLines="50"/>
        <w:jc w:val="center"/>
        <w:outlineLvl w:val="2"/>
        <w:rPr>
          <w:rFonts w:ascii="宋体" w:hAnsi="宋体"/>
          <w:sz w:val="44"/>
          <w:szCs w:val="44"/>
        </w:rPr>
      </w:pPr>
      <w:bookmarkStart w:id="2" w:name="_Toc521509434"/>
      <w:r>
        <w:rPr>
          <w:rFonts w:hint="eastAsia" w:ascii="宋体" w:hAnsi="宋体"/>
          <w:b/>
          <w:sz w:val="44"/>
        </w:rPr>
        <w:t>《质量手册》发布令</w:t>
      </w:r>
      <w:bookmarkEnd w:id="2"/>
    </w:p>
    <w:p w14:paraId="6B1DA7C6">
      <w:pPr>
        <w:spacing w:line="500" w:lineRule="exact"/>
        <w:ind w:firstLine="560" w:firstLineChars="200"/>
        <w:rPr>
          <w:rFonts w:ascii="宋体" w:hAnsi="宋体"/>
        </w:rPr>
      </w:pPr>
      <w:r>
        <w:rPr>
          <w:rFonts w:hint="eastAsia" w:ascii="宋体" w:hAnsi="宋体"/>
        </w:rPr>
        <w:t>质量是企业的生命，是企业效益的基础。为保证我公司能稳定地提供满足顾客和适用的法律法规要求的产品和服务，</w:t>
      </w:r>
      <w:r>
        <w:rPr>
          <w:rFonts w:ascii="宋体" w:hAnsi="宋体"/>
        </w:rPr>
        <w:t>提高公司信誉和产品竞争能力</w:t>
      </w:r>
      <w:r>
        <w:rPr>
          <w:rFonts w:hint="eastAsia" w:ascii="宋体" w:hAnsi="宋体"/>
        </w:rPr>
        <w:t>，并通过改进，增强顾客满意，现发布依据GB/T19001-2016idt ISO9001∶2015和GJB9001C-2017标准并结合本公司实际而重新修订的《质量手册》。</w:t>
      </w:r>
    </w:p>
    <w:p w14:paraId="135C19F1">
      <w:pPr>
        <w:spacing w:line="500" w:lineRule="exact"/>
        <w:ind w:firstLine="560" w:firstLineChars="200"/>
        <w:rPr>
          <w:rFonts w:ascii="宋体" w:hAnsi="宋体"/>
        </w:rPr>
      </w:pPr>
      <w:r>
        <w:rPr>
          <w:rFonts w:ascii="宋体" w:hAnsi="宋体"/>
        </w:rPr>
        <w:t>《质量手册》阐述了公司新阶段的质量方针和质量目标</w:t>
      </w:r>
      <w:r>
        <w:rPr>
          <w:rFonts w:hint="eastAsia" w:ascii="宋体" w:hAnsi="宋体"/>
        </w:rPr>
        <w:t>，</w:t>
      </w:r>
      <w:r>
        <w:rPr>
          <w:rFonts w:ascii="宋体" w:hAnsi="宋体"/>
        </w:rPr>
        <w:t>是实施、保持公司质量管理体系的纲领性文件和进行质量管理的法规</w:t>
      </w:r>
      <w:r>
        <w:rPr>
          <w:rFonts w:hint="eastAsia" w:ascii="宋体" w:hAnsi="宋体"/>
        </w:rPr>
        <w:t>性文件之一</w:t>
      </w:r>
      <w:r>
        <w:rPr>
          <w:rFonts w:ascii="宋体" w:hAnsi="宋体"/>
        </w:rPr>
        <w:t>，也是向顾客提供质量保证的证实文件，</w:t>
      </w:r>
      <w:r>
        <w:rPr>
          <w:rFonts w:hint="eastAsia" w:ascii="宋体" w:hAnsi="宋体"/>
        </w:rPr>
        <w:t>也可</w:t>
      </w:r>
      <w:r>
        <w:rPr>
          <w:rFonts w:ascii="宋体" w:hAnsi="宋体"/>
        </w:rPr>
        <w:t>作为第三方质量管理体系认证的依据</w:t>
      </w:r>
      <w:r>
        <w:rPr>
          <w:rFonts w:hint="eastAsia" w:ascii="宋体" w:hAnsi="宋体"/>
        </w:rPr>
        <w:t>。全体员工应认真学习本手册，理解手册的精神实质并坚决贯彻执行。</w:t>
      </w:r>
    </w:p>
    <w:p w14:paraId="37232A5C">
      <w:pPr>
        <w:spacing w:line="500" w:lineRule="exact"/>
        <w:ind w:firstLine="560" w:firstLineChars="200"/>
        <w:rPr>
          <w:rFonts w:ascii="宋体" w:hAnsi="宋体"/>
        </w:rPr>
      </w:pPr>
      <w:r>
        <w:rPr>
          <w:rFonts w:hint="eastAsia" w:ascii="宋体" w:hAnsi="宋体"/>
        </w:rPr>
        <w:t>本《质量手册》现予以发布，于2022年3月1日正式实行。</w:t>
      </w:r>
    </w:p>
    <w:p w14:paraId="2F64372B">
      <w:pPr>
        <w:ind w:firstLine="640" w:firstLineChars="200"/>
        <w:rPr>
          <w:rFonts w:ascii="宋体" w:hAnsi="宋体"/>
          <w:sz w:val="32"/>
          <w:szCs w:val="32"/>
        </w:rPr>
      </w:pPr>
    </w:p>
    <w:p w14:paraId="2705B75D">
      <w:pPr>
        <w:ind w:firstLine="5440" w:firstLineChars="1700"/>
        <w:rPr>
          <w:rFonts w:ascii="宋体" w:hAnsi="宋体"/>
          <w:sz w:val="32"/>
          <w:szCs w:val="32"/>
        </w:rPr>
      </w:pPr>
    </w:p>
    <w:p w14:paraId="4A385279">
      <w:pPr>
        <w:ind w:firstLine="4760" w:firstLineChars="1700"/>
        <w:rPr>
          <w:rFonts w:ascii="宋体" w:hAnsi="宋体"/>
          <w:szCs w:val="28"/>
        </w:rPr>
      </w:pPr>
    </w:p>
    <w:p w14:paraId="220C57CE">
      <w:pPr>
        <w:ind w:firstLine="4760" w:firstLineChars="1700"/>
        <w:rPr>
          <w:rFonts w:ascii="宋体" w:hAnsi="宋体"/>
          <w:szCs w:val="28"/>
        </w:rPr>
      </w:pPr>
      <w:r>
        <w:rPr>
          <w:rFonts w:ascii="宋体" w:hAnsi="宋体"/>
          <w:szCs w:val="28"/>
        </w:rPr>
        <w:t>总经理</w:t>
      </w:r>
      <w:r>
        <w:rPr>
          <w:rFonts w:hint="eastAsia" w:ascii="宋体" w:hAnsi="宋体"/>
          <w:szCs w:val="28"/>
        </w:rPr>
        <w:t>：</w:t>
      </w:r>
      <w:r>
        <w:rPr>
          <w:rFonts w:hint="eastAsia" w:ascii="宋体" w:hAnsi="宋体"/>
          <w:szCs w:val="28"/>
          <w:lang w:val="en-US" w:eastAsia="zh-CN"/>
        </w:rPr>
        <w:t>_______</w:t>
      </w:r>
    </w:p>
    <w:p w14:paraId="0E31F4B6">
      <w:pPr>
        <w:ind w:firstLine="560" w:firstLineChars="200"/>
        <w:rPr>
          <w:rFonts w:ascii="宋体" w:hAnsi="宋体"/>
          <w:szCs w:val="28"/>
        </w:rPr>
      </w:pPr>
    </w:p>
    <w:p w14:paraId="68A33178">
      <w:pPr>
        <w:ind w:firstLine="4760" w:firstLineChars="1700"/>
        <w:rPr>
          <w:rFonts w:ascii="宋体" w:hAnsi="宋体"/>
          <w:szCs w:val="28"/>
        </w:rPr>
      </w:pPr>
      <w:r>
        <w:rPr>
          <w:rFonts w:hint="eastAsia" w:ascii="宋体" w:hAnsi="宋体"/>
          <w:szCs w:val="28"/>
          <w:lang w:val="en-US" w:eastAsia="zh-CN"/>
        </w:rPr>
        <w:t>______</w:t>
      </w:r>
      <w:r>
        <w:rPr>
          <w:rFonts w:ascii="宋体" w:hAnsi="宋体"/>
          <w:szCs w:val="28"/>
        </w:rPr>
        <w:t>年</w:t>
      </w:r>
      <w:r>
        <w:rPr>
          <w:rFonts w:hint="eastAsia" w:ascii="宋体" w:hAnsi="宋体"/>
          <w:szCs w:val="28"/>
          <w:lang w:val="en-US" w:eastAsia="zh-CN"/>
        </w:rPr>
        <w:t>______</w:t>
      </w:r>
      <w:r>
        <w:rPr>
          <w:rFonts w:ascii="宋体" w:hAnsi="宋体"/>
          <w:szCs w:val="28"/>
        </w:rPr>
        <w:t>月</w:t>
      </w:r>
      <w:r>
        <w:rPr>
          <w:rFonts w:hint="eastAsia" w:ascii="宋体" w:hAnsi="宋体"/>
          <w:szCs w:val="28"/>
          <w:lang w:val="en-US" w:eastAsia="zh-CN"/>
        </w:rPr>
        <w:t>_______</w:t>
      </w:r>
      <w:r>
        <w:rPr>
          <w:rFonts w:ascii="宋体" w:hAnsi="宋体"/>
          <w:szCs w:val="28"/>
        </w:rPr>
        <w:t>日</w:t>
      </w:r>
    </w:p>
    <w:p w14:paraId="65385444">
      <w:pPr>
        <w:pStyle w:val="2"/>
        <w:rPr>
          <w:rFonts w:hint="eastAsia"/>
        </w:rPr>
      </w:pPr>
      <w:bookmarkStart w:id="3" w:name="_Toc20744"/>
    </w:p>
    <w:p w14:paraId="4F8FB7A1">
      <w:pPr>
        <w:rPr>
          <w:rFonts w:hint="eastAsia"/>
        </w:rPr>
      </w:pPr>
    </w:p>
    <w:p w14:paraId="515EED77">
      <w:pPr>
        <w:rPr>
          <w:rFonts w:hint="eastAsia"/>
        </w:rPr>
      </w:pPr>
    </w:p>
    <w:p w14:paraId="279F1822">
      <w:pPr>
        <w:rPr>
          <w:rFonts w:hint="eastAsia"/>
        </w:rPr>
      </w:pPr>
    </w:p>
    <w:p w14:paraId="3D91BA53">
      <w:pPr>
        <w:pStyle w:val="2"/>
      </w:pPr>
      <w:r>
        <w:rPr>
          <w:rFonts w:hint="eastAsia"/>
        </w:rPr>
        <w:t>授权书</w:t>
      </w:r>
      <w:bookmarkEnd w:id="3"/>
    </w:p>
    <w:p w14:paraId="70D021E2">
      <w:pPr>
        <w:spacing w:line="360" w:lineRule="exact"/>
        <w:ind w:firstLine="435"/>
        <w:rPr>
          <w:rFonts w:ascii="Arial" w:hAnsi="Arial"/>
          <w:szCs w:val="21"/>
        </w:rPr>
      </w:pPr>
      <w:r>
        <w:rPr>
          <w:rFonts w:ascii="Arial" w:hAnsi="Arial"/>
          <w:szCs w:val="21"/>
        </w:rPr>
        <w:t>为贯彻执行</w:t>
      </w:r>
      <w:r>
        <w:rPr>
          <w:rFonts w:hint="eastAsia" w:ascii="宋体" w:hAnsi="宋体"/>
        </w:rPr>
        <w:t>GB/T19001-2016</w:t>
      </w:r>
      <w:r>
        <w:rPr>
          <w:rFonts w:ascii="Arial" w:hAnsi="Arial"/>
          <w:szCs w:val="21"/>
        </w:rPr>
        <w:t>《</w:t>
      </w:r>
      <w:r>
        <w:rPr>
          <w:rFonts w:hint="eastAsia" w:ascii="Arial" w:hAnsi="Arial"/>
          <w:szCs w:val="21"/>
        </w:rPr>
        <w:t>质量</w:t>
      </w:r>
      <w:r>
        <w:rPr>
          <w:rFonts w:ascii="Arial" w:hAnsi="Arial"/>
          <w:szCs w:val="21"/>
        </w:rPr>
        <w:t>管理体系》，加强对</w:t>
      </w:r>
      <w:r>
        <w:rPr>
          <w:rFonts w:hint="eastAsia" w:ascii="Arial" w:hAnsi="Arial"/>
          <w:szCs w:val="21"/>
        </w:rPr>
        <w:t>信息</w:t>
      </w:r>
      <w:r>
        <w:rPr>
          <w:rFonts w:ascii="Arial" w:hAnsi="Arial"/>
          <w:szCs w:val="21"/>
        </w:rPr>
        <w:t>管理体系运行的领导，特授权：</w:t>
      </w:r>
    </w:p>
    <w:p w14:paraId="1CA8A638">
      <w:pPr>
        <w:spacing w:line="360" w:lineRule="exact"/>
        <w:ind w:firstLine="435"/>
        <w:rPr>
          <w:rFonts w:ascii="Arial" w:hAnsi="Arial"/>
          <w:szCs w:val="21"/>
        </w:rPr>
      </w:pPr>
      <w:r>
        <w:rPr>
          <w:rFonts w:ascii="Arial" w:hAnsi="Arial"/>
          <w:szCs w:val="21"/>
        </w:rPr>
        <w:t>1、授权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ascii="Arial" w:hAnsi="Arial"/>
          <w:szCs w:val="21"/>
        </w:rPr>
        <w:t>为公司管理者代表，其主要职责（角色）和权限为：</w:t>
      </w:r>
    </w:p>
    <w:p w14:paraId="4E28BFD6">
      <w:pPr>
        <w:spacing w:line="360" w:lineRule="exact"/>
        <w:ind w:firstLine="719" w:firstLineChars="257"/>
        <w:rPr>
          <w:rFonts w:ascii="Arial" w:hAnsi="Arial"/>
          <w:szCs w:val="21"/>
        </w:rPr>
      </w:pPr>
      <w:r>
        <w:rPr>
          <w:rFonts w:ascii="Arial" w:hAnsi="Arial"/>
          <w:szCs w:val="21"/>
        </w:rPr>
        <w:t>1）确保公司</w:t>
      </w:r>
      <w:r>
        <w:rPr>
          <w:rFonts w:hint="eastAsia" w:ascii="Arial" w:hAnsi="Arial"/>
          <w:szCs w:val="21"/>
        </w:rPr>
        <w:t>质量</w:t>
      </w:r>
      <w:r>
        <w:rPr>
          <w:rFonts w:ascii="Arial" w:hAnsi="Arial"/>
          <w:szCs w:val="21"/>
        </w:rPr>
        <w:t>管理体系所需过程得到建立、实施、运行和保持。确保</w:t>
      </w:r>
      <w:r>
        <w:rPr>
          <w:rFonts w:hint="eastAsia" w:ascii="Arial" w:hAnsi="Arial"/>
          <w:szCs w:val="21"/>
        </w:rPr>
        <w:t>质量管理</w:t>
      </w:r>
      <w:r>
        <w:rPr>
          <w:rFonts w:ascii="Arial" w:hAnsi="Arial"/>
          <w:szCs w:val="21"/>
        </w:rPr>
        <w:t>风险得到有效控制。</w:t>
      </w:r>
    </w:p>
    <w:p w14:paraId="3561080F">
      <w:pPr>
        <w:spacing w:line="360" w:lineRule="exact"/>
        <w:ind w:firstLine="719" w:firstLineChars="257"/>
        <w:rPr>
          <w:rFonts w:ascii="Arial" w:hAnsi="Arial"/>
          <w:szCs w:val="21"/>
        </w:rPr>
      </w:pPr>
      <w:r>
        <w:rPr>
          <w:rFonts w:ascii="Arial" w:hAnsi="Arial"/>
          <w:szCs w:val="21"/>
        </w:rPr>
        <w:t>2）向最高管理者报告</w:t>
      </w:r>
      <w:r>
        <w:rPr>
          <w:rFonts w:hint="eastAsia" w:ascii="Arial" w:hAnsi="Arial"/>
          <w:szCs w:val="21"/>
        </w:rPr>
        <w:t>质量</w:t>
      </w:r>
      <w:r>
        <w:rPr>
          <w:rFonts w:ascii="Arial" w:hAnsi="Arial"/>
          <w:szCs w:val="21"/>
        </w:rPr>
        <w:t>管理体系业绩（绩效）和任何改善需求，为最高管理层评审提供依据。</w:t>
      </w:r>
    </w:p>
    <w:p w14:paraId="2BC19BEC">
      <w:pPr>
        <w:spacing w:line="360" w:lineRule="exact"/>
        <w:ind w:firstLine="719" w:firstLineChars="257"/>
        <w:rPr>
          <w:rFonts w:ascii="Arial" w:hAnsi="Arial"/>
          <w:szCs w:val="21"/>
        </w:rPr>
      </w:pPr>
      <w:r>
        <w:rPr>
          <w:rFonts w:ascii="Arial" w:hAnsi="Arial"/>
          <w:szCs w:val="21"/>
        </w:rPr>
        <w:t>3）确保满足顾客和相关方要求、法律法规要求的</w:t>
      </w:r>
      <w:r>
        <w:rPr>
          <w:rFonts w:hint="eastAsia" w:ascii="Arial" w:hAnsi="Arial"/>
          <w:szCs w:val="21"/>
        </w:rPr>
        <w:t>质量管理</w:t>
      </w:r>
      <w:r>
        <w:rPr>
          <w:rFonts w:ascii="Arial" w:hAnsi="Arial"/>
          <w:szCs w:val="21"/>
        </w:rPr>
        <w:t>意识和</w:t>
      </w:r>
      <w:r>
        <w:rPr>
          <w:rFonts w:hint="eastAsia" w:ascii="Arial" w:hAnsi="Arial"/>
          <w:szCs w:val="21"/>
        </w:rPr>
        <w:t>质量管理</w:t>
      </w:r>
      <w:r>
        <w:rPr>
          <w:rFonts w:ascii="Arial" w:hAnsi="Arial"/>
          <w:szCs w:val="21"/>
        </w:rPr>
        <w:t>风险意识在公司内得到形成和提高。</w:t>
      </w:r>
    </w:p>
    <w:p w14:paraId="6B12CAA6">
      <w:pPr>
        <w:spacing w:line="360" w:lineRule="exact"/>
        <w:ind w:firstLine="700" w:firstLineChars="250"/>
        <w:rPr>
          <w:rFonts w:ascii="Arial" w:hAnsi="Arial"/>
          <w:szCs w:val="21"/>
        </w:rPr>
      </w:pPr>
      <w:r>
        <w:rPr>
          <w:rFonts w:ascii="Arial" w:hAnsi="Arial"/>
          <w:szCs w:val="21"/>
        </w:rPr>
        <w:t>4）在</w:t>
      </w:r>
      <w:r>
        <w:rPr>
          <w:rFonts w:hint="eastAsia" w:ascii="Arial" w:hAnsi="Arial"/>
          <w:szCs w:val="21"/>
        </w:rPr>
        <w:t>质量</w:t>
      </w:r>
      <w:r>
        <w:rPr>
          <w:rFonts w:ascii="Arial" w:hAnsi="Arial"/>
          <w:szCs w:val="21"/>
        </w:rPr>
        <w:t>管理体系事宜方面负责与外部的联络。</w:t>
      </w:r>
    </w:p>
    <w:p w14:paraId="4AF86869">
      <w:pPr>
        <w:spacing w:line="360" w:lineRule="exact"/>
        <w:ind w:firstLine="560" w:firstLineChars="200"/>
        <w:rPr>
          <w:rFonts w:ascii="Arial" w:hAnsi="Arial"/>
          <w:b/>
          <w:szCs w:val="21"/>
        </w:rPr>
      </w:pPr>
      <w:r>
        <w:rPr>
          <w:rFonts w:ascii="Arial" w:hAnsi="Arial"/>
          <w:szCs w:val="21"/>
        </w:rPr>
        <w:t>2、</w:t>
      </w:r>
      <w:r>
        <w:rPr>
          <w:rFonts w:hint="eastAsia" w:ascii="Arial" w:hAnsi="Arial"/>
          <w:szCs w:val="21"/>
        </w:rPr>
        <w:t>授权</w:t>
      </w:r>
      <w:r>
        <w:rPr>
          <w:rFonts w:hint="eastAsia" w:ascii="Arial" w:hAnsi="Arial"/>
          <w:b/>
          <w:szCs w:val="21"/>
          <w:u w:val="single"/>
        </w:rPr>
        <w:t xml:space="preserve"> </w:t>
      </w:r>
      <w:r>
        <w:rPr>
          <w:rFonts w:hint="eastAsia" w:ascii="Arial" w:hAnsi="Arial"/>
          <w:b/>
          <w:szCs w:val="21"/>
          <w:u w:val="single"/>
          <w:lang w:val="en-US" w:eastAsia="zh-CN"/>
        </w:rPr>
        <w:t xml:space="preserve">     </w:t>
      </w:r>
      <w:r>
        <w:rPr>
          <w:rFonts w:hint="eastAsia" w:ascii="Arial" w:hAnsi="Arial"/>
          <w:b/>
          <w:szCs w:val="21"/>
          <w:u w:val="single"/>
        </w:rPr>
        <w:t xml:space="preserve"> </w:t>
      </w:r>
      <w:r>
        <w:rPr>
          <w:rFonts w:hint="eastAsia" w:ascii="Arial" w:hAnsi="Arial"/>
          <w:szCs w:val="21"/>
        </w:rPr>
        <w:t>为质量管理项目责任人，</w:t>
      </w:r>
      <w:r>
        <w:rPr>
          <w:rFonts w:ascii="Arial" w:hAnsi="Arial"/>
          <w:szCs w:val="21"/>
        </w:rPr>
        <w:t>其主要职责（角色）和权限为：确保</w:t>
      </w:r>
      <w:r>
        <w:rPr>
          <w:rFonts w:hint="eastAsia" w:ascii="Arial" w:hAnsi="Arial"/>
          <w:szCs w:val="21"/>
        </w:rPr>
        <w:t>质量管理方的控制措施得到形成、实施、运行和控制。</w:t>
      </w:r>
    </w:p>
    <w:p w14:paraId="3B4A7617">
      <w:pPr>
        <w:spacing w:line="360" w:lineRule="exact"/>
        <w:ind w:firstLine="420"/>
        <w:rPr>
          <w:rFonts w:ascii="Arial" w:hAnsi="Arial"/>
          <w:szCs w:val="21"/>
        </w:rPr>
      </w:pPr>
      <w:r>
        <w:rPr>
          <w:rFonts w:hint="eastAsia" w:ascii="Arial" w:hAnsi="Arial"/>
          <w:szCs w:val="21"/>
        </w:rPr>
        <w:t>3、</w:t>
      </w:r>
      <w:r>
        <w:rPr>
          <w:rFonts w:ascii="Arial" w:hAnsi="Arial"/>
          <w:szCs w:val="21"/>
        </w:rPr>
        <w:t>授权各部门主管为</w:t>
      </w:r>
      <w:r>
        <w:rPr>
          <w:rFonts w:hint="eastAsia" w:ascii="Arial" w:hAnsi="Arial"/>
          <w:szCs w:val="21"/>
        </w:rPr>
        <w:t>质量</w:t>
      </w:r>
      <w:r>
        <w:rPr>
          <w:rFonts w:ascii="Arial" w:hAnsi="Arial"/>
          <w:szCs w:val="21"/>
        </w:rPr>
        <w:t>管理</w:t>
      </w:r>
      <w:r>
        <w:rPr>
          <w:rFonts w:hint="eastAsia" w:ascii="Arial" w:hAnsi="Arial"/>
          <w:szCs w:val="21"/>
        </w:rPr>
        <w:t>体系</w:t>
      </w:r>
      <w:r>
        <w:rPr>
          <w:rFonts w:ascii="Arial" w:hAnsi="Arial"/>
          <w:szCs w:val="21"/>
        </w:rPr>
        <w:t>在本部门的责任人，对</w:t>
      </w:r>
      <w:r>
        <w:rPr>
          <w:rFonts w:hint="eastAsia" w:ascii="Arial" w:hAnsi="Arial"/>
          <w:szCs w:val="21"/>
        </w:rPr>
        <w:t>质量管理</w:t>
      </w:r>
      <w:r>
        <w:rPr>
          <w:rFonts w:ascii="Arial" w:hAnsi="Arial"/>
          <w:szCs w:val="21"/>
        </w:rPr>
        <w:t>要求在本部门的实施负责。</w:t>
      </w:r>
    </w:p>
    <w:p w14:paraId="2CD8C5A7">
      <w:pPr>
        <w:spacing w:line="360" w:lineRule="exact"/>
        <w:rPr>
          <w:rFonts w:ascii="Arial" w:hAnsi="Arial"/>
          <w:szCs w:val="21"/>
        </w:rPr>
      </w:pPr>
      <w:r>
        <w:rPr>
          <w:rFonts w:ascii="Arial" w:hAnsi="Arial"/>
          <w:szCs w:val="21"/>
        </w:rPr>
        <w:t>　　　　　　　　　　　　　　　　</w:t>
      </w:r>
    </w:p>
    <w:p w14:paraId="12B9B89E">
      <w:pPr>
        <w:spacing w:line="360" w:lineRule="exact"/>
        <w:ind w:firstLine="7840" w:firstLineChars="2800"/>
        <w:rPr>
          <w:szCs w:val="21"/>
        </w:rPr>
      </w:pPr>
    </w:p>
    <w:p w14:paraId="2C271CDB">
      <w:pPr>
        <w:spacing w:line="360" w:lineRule="exact"/>
        <w:rPr>
          <w:szCs w:val="21"/>
        </w:rPr>
      </w:pPr>
      <w:r>
        <w:rPr>
          <w:szCs w:val="21"/>
        </w:rPr>
        <w:t>总经理</w:t>
      </w:r>
      <w:r>
        <w:rPr>
          <w:rFonts w:hint="eastAsia"/>
          <w:szCs w:val="21"/>
        </w:rPr>
        <w:t>：</w:t>
      </w:r>
    </w:p>
    <w:p w14:paraId="066413F6">
      <w:pPr>
        <w:spacing w:line="360" w:lineRule="exact"/>
        <w:ind w:firstLine="7840" w:firstLineChars="2800"/>
        <w:rPr>
          <w:szCs w:val="21"/>
        </w:rPr>
      </w:pPr>
    </w:p>
    <w:p w14:paraId="7266DCEA">
      <w:pPr>
        <w:ind w:left="840" w:hanging="840" w:hangingChars="300"/>
        <w:rPr>
          <w:rFonts w:ascii="宋体" w:cs="宋体"/>
        </w:rPr>
      </w:pPr>
      <w:r>
        <w:rPr>
          <w:rFonts w:hint="eastAsia"/>
          <w:szCs w:val="21"/>
        </w:rPr>
        <w:t xml:space="preserve">                                                        </w:t>
      </w:r>
      <w:r>
        <w:rPr>
          <w:szCs w:val="21"/>
        </w:rPr>
        <w:t xml:space="preserve">   </w:t>
      </w:r>
      <w:r>
        <w:rPr>
          <w:rFonts w:hint="eastAsia"/>
          <w:szCs w:val="21"/>
        </w:rPr>
        <w:t xml:space="preserve"> </w:t>
      </w:r>
      <w:r>
        <w:rPr>
          <w:szCs w:val="21"/>
        </w:rPr>
        <w:t xml:space="preserve">   年</w:t>
      </w:r>
      <w:r>
        <w:rPr>
          <w:rFonts w:hint="eastAsia"/>
          <w:szCs w:val="21"/>
          <w:lang w:val="en-US" w:eastAsia="zh-CN"/>
        </w:rPr>
        <w:t xml:space="preserve">  </w:t>
      </w:r>
      <w:r>
        <w:rPr>
          <w:szCs w:val="21"/>
        </w:rPr>
        <w:t>月</w:t>
      </w:r>
      <w:r>
        <w:rPr>
          <w:rFonts w:hint="eastAsia"/>
          <w:szCs w:val="21"/>
          <w:lang w:val="en-US" w:eastAsia="zh-CN"/>
        </w:rPr>
        <w:t xml:space="preserve">  </w:t>
      </w:r>
      <w:r>
        <w:rPr>
          <w:szCs w:val="21"/>
        </w:rPr>
        <w:t>日</w:t>
      </w:r>
    </w:p>
    <w:p w14:paraId="56CA6762">
      <w:pPr>
        <w:widowControl/>
        <w:jc w:val="center"/>
        <w:outlineLvl w:val="2"/>
        <w:rPr>
          <w:rFonts w:ascii="宋体" w:hAnsi="宋体"/>
          <w:b/>
        </w:rPr>
      </w:pPr>
      <w:r>
        <w:rPr>
          <w:rFonts w:ascii="宋体" w:hAnsi="宋体"/>
        </w:rPr>
        <w:br w:type="page"/>
      </w:r>
      <w:bookmarkStart w:id="4" w:name="_Toc521509435"/>
      <w:r>
        <w:rPr>
          <w:rFonts w:hint="eastAsia" w:ascii="宋体" w:hAnsi="宋体"/>
          <w:b/>
          <w:sz w:val="30"/>
          <w:szCs w:val="30"/>
        </w:rPr>
        <w:t>前    言</w:t>
      </w:r>
      <w:bookmarkEnd w:id="4"/>
    </w:p>
    <w:p w14:paraId="32787DB3">
      <w:pPr>
        <w:spacing w:line="360" w:lineRule="exact"/>
        <w:ind w:firstLine="480" w:firstLineChars="200"/>
        <w:jc w:val="left"/>
        <w:rPr>
          <w:rFonts w:ascii="宋体" w:hAnsi="宋体"/>
          <w:sz w:val="24"/>
          <w:szCs w:val="24"/>
        </w:rPr>
      </w:pPr>
      <w:bookmarkStart w:id="180" w:name="_GoBack"/>
      <w:bookmarkEnd w:id="180"/>
    </w:p>
    <w:p w14:paraId="17EF354A">
      <w:pPr>
        <w:keepNext w:val="0"/>
        <w:keepLines w:val="0"/>
        <w:pageBreakBefore w:val="0"/>
        <w:widowControl w:val="0"/>
        <w:kinsoku/>
        <w:wordWrap/>
        <w:overflowPunct/>
        <w:topLinePunct w:val="0"/>
        <w:autoSpaceDE/>
        <w:autoSpaceDN/>
        <w:bidi w:val="0"/>
        <w:adjustRightInd/>
        <w:snapToGrid w:val="0"/>
        <w:spacing w:line="400" w:lineRule="exact"/>
        <w:ind w:firstLine="0" w:firstLineChars="0"/>
        <w:contextualSpacing/>
        <w:textAlignment w:val="auto"/>
        <w:rPr>
          <w:rFonts w:hint="eastAsia" w:ascii="宋体" w:hAnsi="宋体"/>
          <w:b/>
          <w:bCs/>
          <w:sz w:val="44"/>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summaries</w:t>
      </w:r>
      <w:r>
        <w:rPr>
          <w:rFonts w:hint="eastAsia" w:ascii="宋体" w:hAnsi="宋体"/>
          <w:color w:val="000000" w:themeColor="text1"/>
          <w:sz w:val="21"/>
          <w:szCs w:val="21"/>
          <w:lang w:val="en-US" w:eastAsia="zh-CN"/>
          <w14:textFill>
            <w14:solidFill>
              <w14:schemeClr w14:val="tx1"/>
            </w14:solidFill>
          </w14:textFill>
        </w:rPr>
        <w:t>}</w:t>
      </w:r>
      <w:bookmarkStart w:id="5" w:name="_Toc521509436"/>
    </w:p>
    <w:p w14:paraId="114205C8">
      <w:pPr>
        <w:rPr>
          <w:rFonts w:hint="eastAsia" w:ascii="宋体" w:hAnsi="宋体"/>
          <w:b/>
          <w:bCs/>
          <w:sz w:val="44"/>
        </w:rPr>
      </w:pPr>
      <w:r>
        <w:rPr>
          <w:rFonts w:hint="eastAsia" w:ascii="宋体" w:hAnsi="宋体"/>
          <w:b/>
          <w:bCs/>
          <w:sz w:val="44"/>
        </w:rPr>
        <w:br w:type="page"/>
      </w:r>
    </w:p>
    <w:p w14:paraId="56572E83">
      <w:pPr>
        <w:jc w:val="center"/>
        <w:outlineLvl w:val="2"/>
        <w:rPr>
          <w:rFonts w:ascii="宋体" w:hAnsi="宋体"/>
          <w:b/>
          <w:bCs/>
          <w:sz w:val="44"/>
        </w:rPr>
      </w:pPr>
      <w:r>
        <w:rPr>
          <w:rFonts w:hint="eastAsia" w:ascii="宋体" w:hAnsi="宋体"/>
          <w:b/>
          <w:bCs/>
          <w:sz w:val="44"/>
        </w:rPr>
        <w:t>质 量 方 针</w:t>
      </w:r>
      <w:bookmarkEnd w:id="5"/>
    </w:p>
    <w:p w14:paraId="352F5376">
      <w:pPr>
        <w:widowControl/>
        <w:jc w:val="left"/>
        <w:rPr>
          <w:rFonts w:ascii="宋体" w:hAnsi="宋体"/>
        </w:rPr>
      </w:pPr>
    </w:p>
    <w:p w14:paraId="7D399401">
      <w:pPr>
        <w:keepNext w:val="0"/>
        <w:keepLines w:val="0"/>
        <w:pageBreakBefore w:val="0"/>
        <w:widowControl w:val="0"/>
        <w:kinsoku/>
        <w:wordWrap/>
        <w:overflowPunct/>
        <w:topLinePunct w:val="0"/>
        <w:autoSpaceDE/>
        <w:autoSpaceDN/>
        <w:bidi w:val="0"/>
        <w:adjustRightInd/>
        <w:snapToGrid w:val="0"/>
        <w:spacing w:line="400" w:lineRule="exact"/>
        <w:ind w:firstLine="0" w:firstLineChars="0"/>
        <w:contextualSpacing/>
        <w:textAlignment w:val="auto"/>
        <w:rPr>
          <w:rFonts w:hint="eastAsia" w:ascii="宋体" w:hAnsi="宋体"/>
          <w:b/>
          <w:sz w:val="21"/>
          <w:szCs w:val="21"/>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policies</w:t>
      </w:r>
      <w:r>
        <w:rPr>
          <w:rFonts w:hint="eastAsia" w:ascii="宋体" w:hAnsi="宋体"/>
          <w:color w:val="000000" w:themeColor="text1"/>
          <w:sz w:val="21"/>
          <w:szCs w:val="21"/>
          <w:lang w:val="en-US" w:eastAsia="zh-CN"/>
          <w14:textFill>
            <w14:solidFill>
              <w14:schemeClr w14:val="tx1"/>
            </w14:solidFill>
          </w14:textFill>
        </w:rPr>
        <w:t>}</w:t>
      </w:r>
    </w:p>
    <w:p w14:paraId="7F9D5829">
      <w:pPr>
        <w:spacing w:line="500" w:lineRule="atLeast"/>
        <w:rPr>
          <w:rFonts w:ascii="宋体" w:hAnsi="宋体"/>
        </w:rPr>
      </w:pPr>
    </w:p>
    <w:p w14:paraId="61E23B98">
      <w:pPr>
        <w:spacing w:line="500" w:lineRule="atLeast"/>
        <w:ind w:firstLine="1500" w:firstLineChars="500"/>
        <w:rPr>
          <w:rFonts w:ascii="宋体" w:hAnsi="宋体"/>
          <w:sz w:val="30"/>
          <w:szCs w:val="30"/>
        </w:rPr>
      </w:pPr>
      <w:r>
        <w:rPr>
          <w:rFonts w:hint="eastAsia" w:ascii="宋体" w:hAnsi="宋体"/>
          <w:sz w:val="30"/>
          <w:szCs w:val="30"/>
          <w:lang w:eastAsia="zh-CN"/>
        </w:rPr>
        <w:t>{companyName}</w:t>
      </w:r>
      <w:r>
        <w:rPr>
          <w:rFonts w:hint="eastAsia" w:ascii="宋体" w:hAnsi="宋体"/>
          <w:sz w:val="30"/>
          <w:szCs w:val="30"/>
        </w:rPr>
        <w:t xml:space="preserve">总经理： </w:t>
      </w:r>
    </w:p>
    <w:p w14:paraId="0427B25B">
      <w:pPr>
        <w:spacing w:line="500" w:lineRule="atLeast"/>
        <w:ind w:firstLine="600"/>
        <w:jc w:val="center"/>
        <w:rPr>
          <w:rFonts w:ascii="宋体" w:hAnsi="宋体"/>
        </w:rPr>
      </w:pPr>
      <w:r>
        <w:rPr>
          <w:rFonts w:hint="eastAsia" w:ascii="宋体" w:hAnsi="宋体"/>
        </w:rPr>
        <w:t xml:space="preserve">                           </w:t>
      </w:r>
    </w:p>
    <w:p w14:paraId="4A8C99AA">
      <w:pPr>
        <w:widowControl/>
        <w:jc w:val="center"/>
        <w:rPr>
          <w:rFonts w:ascii="宋体" w:hAnsi="宋体"/>
          <w:sz w:val="44"/>
          <w:szCs w:val="44"/>
        </w:rPr>
      </w:pPr>
      <w:r>
        <w:rPr>
          <w:rFonts w:hint="eastAsia" w:ascii="宋体" w:hAnsi="宋体"/>
        </w:rPr>
        <w:t xml:space="preserve">                                     </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62F4E136">
      <w:pPr>
        <w:widowControl/>
        <w:jc w:val="center"/>
        <w:rPr>
          <w:rFonts w:ascii="宋体" w:hAnsi="宋体"/>
          <w:sz w:val="44"/>
          <w:szCs w:val="44"/>
        </w:rPr>
      </w:pPr>
    </w:p>
    <w:p w14:paraId="14D53357">
      <w:pPr>
        <w:widowControl/>
        <w:jc w:val="center"/>
        <w:rPr>
          <w:rFonts w:ascii="宋体" w:hAnsi="宋体"/>
          <w:sz w:val="44"/>
          <w:szCs w:val="44"/>
        </w:rPr>
      </w:pPr>
    </w:p>
    <w:p w14:paraId="5BD114E2">
      <w:pPr>
        <w:widowControl/>
        <w:jc w:val="left"/>
        <w:rPr>
          <w:rFonts w:ascii="宋体" w:hAnsi="宋体"/>
        </w:rPr>
      </w:pPr>
    </w:p>
    <w:p w14:paraId="7D3AFED5">
      <w:pPr>
        <w:widowControl/>
        <w:jc w:val="left"/>
        <w:rPr>
          <w:rFonts w:ascii="宋体" w:hAnsi="宋体"/>
        </w:rPr>
      </w:pPr>
    </w:p>
    <w:p w14:paraId="47F4EDE2">
      <w:pPr>
        <w:widowControl/>
        <w:jc w:val="left"/>
        <w:rPr>
          <w:rFonts w:ascii="宋体" w:hAnsi="宋体"/>
        </w:rPr>
        <w:sectPr>
          <w:headerReference r:id="rId6" w:type="default"/>
          <w:pgSz w:w="11906" w:h="16838"/>
          <w:pgMar w:top="1418" w:right="1418" w:bottom="1418" w:left="1701" w:header="851" w:footer="992" w:gutter="0"/>
          <w:pgNumType w:fmt="upperRoman"/>
          <w:cols w:space="720" w:num="1"/>
          <w:docGrid w:linePitch="312" w:charSpace="0"/>
        </w:sectPr>
      </w:pPr>
    </w:p>
    <w:p w14:paraId="5EEBE6EE">
      <w:pPr>
        <w:rPr>
          <w:rFonts w:ascii="宋体" w:hAnsi="宋体"/>
          <w:szCs w:val="28"/>
        </w:rPr>
        <w:sectPr>
          <w:type w:val="continuous"/>
          <w:pgSz w:w="11906" w:h="16838"/>
          <w:pgMar w:top="1418" w:right="1418" w:bottom="1418" w:left="1701" w:header="851" w:footer="992" w:gutter="0"/>
          <w:cols w:space="720" w:num="1"/>
          <w:docGrid w:linePitch="312" w:charSpace="0"/>
        </w:sectPr>
      </w:pPr>
    </w:p>
    <w:p w14:paraId="4AEF12E5">
      <w:pPr>
        <w:rPr>
          <w:rFonts w:hint="eastAsia" w:ascii="宋体" w:hAnsi="宋体"/>
          <w:b/>
          <w:sz w:val="32"/>
          <w:szCs w:val="32"/>
        </w:rPr>
      </w:pPr>
      <w:r>
        <w:rPr>
          <w:rFonts w:hint="eastAsia" w:ascii="宋体" w:hAnsi="宋体"/>
          <w:b/>
          <w:sz w:val="32"/>
          <w:szCs w:val="32"/>
        </w:rPr>
        <w:br w:type="page"/>
      </w:r>
    </w:p>
    <w:p w14:paraId="2E9F3426">
      <w:pPr>
        <w:widowControl/>
        <w:spacing w:line="400" w:lineRule="exact"/>
        <w:jc w:val="center"/>
        <w:rPr>
          <w:rFonts w:ascii="宋体" w:hAnsi="宋体"/>
          <w:b/>
          <w:sz w:val="32"/>
          <w:szCs w:val="32"/>
        </w:rPr>
      </w:pPr>
      <w:r>
        <w:rPr>
          <w:rFonts w:hint="eastAsia" w:ascii="宋体" w:hAnsi="宋体"/>
          <w:b/>
          <w:sz w:val="32"/>
          <w:szCs w:val="32"/>
        </w:rPr>
        <w:t>质 量 手 册</w:t>
      </w:r>
    </w:p>
    <w:p w14:paraId="68A5A13D">
      <w:pPr>
        <w:pStyle w:val="2"/>
        <w:spacing w:line="400" w:lineRule="exact"/>
        <w:rPr>
          <w:rFonts w:ascii="宋体" w:hAnsi="宋体"/>
        </w:rPr>
      </w:pPr>
      <w:bookmarkStart w:id="6" w:name="_Toc509844794"/>
      <w:bookmarkStart w:id="7" w:name="_Toc521509437"/>
      <w:bookmarkStart w:id="8" w:name="_Toc215374638"/>
      <w:bookmarkStart w:id="9" w:name="_Toc509844104"/>
      <w:bookmarkStart w:id="10" w:name="_Toc509845126"/>
      <w:r>
        <w:rPr>
          <w:rFonts w:hint="eastAsia" w:ascii="宋体" w:hAnsi="宋体"/>
          <w:sz w:val="28"/>
          <w:szCs w:val="28"/>
        </w:rPr>
        <w:t>1范围</w:t>
      </w:r>
      <w:bookmarkEnd w:id="6"/>
      <w:bookmarkEnd w:id="7"/>
      <w:bookmarkEnd w:id="8"/>
      <w:bookmarkEnd w:id="9"/>
      <w:bookmarkEnd w:id="10"/>
    </w:p>
    <w:p w14:paraId="68144248">
      <w:pPr>
        <w:spacing w:line="400" w:lineRule="exact"/>
        <w:ind w:firstLine="420" w:firstLineChars="200"/>
        <w:rPr>
          <w:rFonts w:ascii="宋体" w:hAnsi="宋体"/>
          <w:sz w:val="21"/>
          <w:szCs w:val="21"/>
        </w:rPr>
      </w:pPr>
      <w:r>
        <w:rPr>
          <w:rFonts w:hint="eastAsia" w:ascii="宋体" w:hAnsi="宋体"/>
          <w:sz w:val="21"/>
          <w:szCs w:val="21"/>
        </w:rPr>
        <w:t>本手册依据GB/T19001-2016和GJB9001C-2017标准的要求，结合公司质量管理体系运行实际情况进行编制。其目的：</w:t>
      </w:r>
    </w:p>
    <w:p w14:paraId="171A5780">
      <w:pPr>
        <w:tabs>
          <w:tab w:val="left" w:pos="735"/>
        </w:tabs>
        <w:spacing w:line="400" w:lineRule="exact"/>
        <w:ind w:firstLine="420" w:firstLineChars="200"/>
        <w:rPr>
          <w:rFonts w:ascii="宋体" w:hAnsi="宋体"/>
          <w:sz w:val="21"/>
          <w:szCs w:val="21"/>
        </w:rPr>
      </w:pPr>
      <w:r>
        <w:rPr>
          <w:rFonts w:hint="eastAsia" w:ascii="宋体" w:hAnsi="宋体"/>
          <w:sz w:val="21"/>
          <w:szCs w:val="21"/>
        </w:rPr>
        <w:t>a）确保本公司具有稳定地提供满足顾客要求和适用的法律法规要求的产品和服务的能力；</w:t>
      </w:r>
    </w:p>
    <w:p w14:paraId="248738B3">
      <w:pPr>
        <w:tabs>
          <w:tab w:val="left" w:pos="735"/>
        </w:tabs>
        <w:spacing w:line="400" w:lineRule="exact"/>
        <w:ind w:firstLine="420" w:firstLineChars="200"/>
        <w:rPr>
          <w:rFonts w:ascii="宋体" w:hAnsi="宋体"/>
          <w:sz w:val="21"/>
          <w:szCs w:val="21"/>
        </w:rPr>
      </w:pPr>
      <w:r>
        <w:rPr>
          <w:rFonts w:hint="eastAsia" w:ascii="宋体" w:hAnsi="宋体"/>
          <w:sz w:val="21"/>
          <w:szCs w:val="21"/>
        </w:rPr>
        <w:t>b）确保质量管理体系有效运行并改进其有效性，以增强顾客满意的程度。</w:t>
      </w:r>
    </w:p>
    <w:p w14:paraId="6A457338">
      <w:pPr>
        <w:spacing w:line="400" w:lineRule="exact"/>
        <w:ind w:firstLine="420" w:firstLineChars="200"/>
        <w:rPr>
          <w:rFonts w:ascii="宋体" w:hAnsi="宋体"/>
          <w:sz w:val="21"/>
          <w:szCs w:val="21"/>
        </w:rPr>
      </w:pPr>
      <w:r>
        <w:rPr>
          <w:rFonts w:hint="eastAsia" w:ascii="宋体" w:hAnsi="宋体"/>
          <w:sz w:val="21"/>
          <w:szCs w:val="21"/>
        </w:rPr>
        <w:t>本手册规定了公司质量管理体系要求，是公司开展质量策划、质量控制、质量保证和持续改进活动的法规性文件，通过满足顾客和适用的法律、法规要求，达到顾客满意。</w:t>
      </w:r>
    </w:p>
    <w:p w14:paraId="72BA3368">
      <w:pPr>
        <w:spacing w:line="400" w:lineRule="exact"/>
        <w:ind w:firstLine="420" w:firstLineChars="200"/>
        <w:rPr>
          <w:rFonts w:ascii="宋体" w:hAnsi="宋体"/>
          <w:sz w:val="21"/>
          <w:szCs w:val="21"/>
        </w:rPr>
      </w:pPr>
      <w:r>
        <w:rPr>
          <w:rFonts w:hint="eastAsia" w:ascii="宋体" w:hAnsi="宋体"/>
          <w:sz w:val="21"/>
          <w:szCs w:val="21"/>
        </w:rPr>
        <w:t>质量管理体系适用于智能安全风险预警系统设计、开发、交付和售后服务；智能安全试剂存储柜（防爆、多组合、集成型）的设计、开发、生产和售后服务。</w:t>
      </w:r>
    </w:p>
    <w:p w14:paraId="1388ADEF">
      <w:pPr>
        <w:spacing w:line="400" w:lineRule="exact"/>
        <w:ind w:firstLine="420" w:firstLineChars="200"/>
        <w:jc w:val="left"/>
        <w:rPr>
          <w:rFonts w:ascii="Calibri" w:hAnsi="Calibri"/>
        </w:rPr>
      </w:pPr>
      <w:r>
        <w:rPr>
          <w:rFonts w:hint="eastAsia" w:ascii="宋体" w:hAnsi="宋体"/>
          <w:sz w:val="21"/>
          <w:szCs w:val="21"/>
        </w:rPr>
        <w:t>本手册对军、民品共用质量要求用宋体描述，对只适用于军品的特殊要求采用楷体描述。</w:t>
      </w:r>
    </w:p>
    <w:p w14:paraId="7A32E1E9">
      <w:pPr>
        <w:pStyle w:val="2"/>
        <w:spacing w:line="400" w:lineRule="exact"/>
        <w:rPr>
          <w:rFonts w:ascii="宋体" w:hAnsi="宋体"/>
          <w:sz w:val="28"/>
          <w:szCs w:val="28"/>
        </w:rPr>
      </w:pPr>
      <w:bookmarkStart w:id="11" w:name="_Toc509844105"/>
      <w:bookmarkStart w:id="12" w:name="_Toc509845127"/>
      <w:bookmarkStart w:id="13" w:name="_Toc509844795"/>
      <w:bookmarkStart w:id="14" w:name="_Toc521509438"/>
      <w:r>
        <w:rPr>
          <w:rFonts w:hint="eastAsia" w:ascii="宋体" w:hAnsi="宋体"/>
          <w:sz w:val="28"/>
          <w:szCs w:val="28"/>
        </w:rPr>
        <w:t>2规范性引用文件</w:t>
      </w:r>
      <w:bookmarkEnd w:id="11"/>
      <w:bookmarkEnd w:id="12"/>
      <w:bookmarkEnd w:id="13"/>
      <w:bookmarkEnd w:id="14"/>
    </w:p>
    <w:p w14:paraId="50107E36">
      <w:pPr>
        <w:spacing w:line="400" w:lineRule="exact"/>
        <w:ind w:firstLine="420" w:firstLineChars="200"/>
        <w:rPr>
          <w:rFonts w:ascii="宋体" w:hAnsi="宋体"/>
          <w:sz w:val="21"/>
          <w:szCs w:val="21"/>
        </w:rPr>
      </w:pPr>
      <w:r>
        <w:rPr>
          <w:rFonts w:hint="eastAsia" w:ascii="宋体" w:hAnsi="宋体"/>
          <w:sz w:val="21"/>
          <w:szCs w:val="21"/>
        </w:rPr>
        <w:t>下列文件对于本手册的应用是必不可少的。凡是注日期的引用文件，仅注日期的版本适用于本手册。凡是不注日期的引用文件，其最新版本(包括所有的修改单)适用于本文件。</w:t>
      </w:r>
    </w:p>
    <w:tbl>
      <w:tblPr>
        <w:tblStyle w:val="17"/>
        <w:tblW w:w="8540" w:type="dxa"/>
        <w:tblInd w:w="96" w:type="dxa"/>
        <w:tblLayout w:type="autofit"/>
        <w:tblCellMar>
          <w:top w:w="0" w:type="dxa"/>
          <w:left w:w="108" w:type="dxa"/>
          <w:bottom w:w="0" w:type="dxa"/>
          <w:right w:w="108" w:type="dxa"/>
        </w:tblCellMar>
      </w:tblPr>
      <w:tblGrid>
        <w:gridCol w:w="3086"/>
        <w:gridCol w:w="5454"/>
      </w:tblGrid>
      <w:tr w14:paraId="07F2409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56E106F">
            <w:pPr>
              <w:autoSpaceDE w:val="0"/>
              <w:autoSpaceDN w:val="0"/>
              <w:adjustRightInd w:val="0"/>
              <w:spacing w:line="400" w:lineRule="exact"/>
              <w:ind w:firstLine="420" w:firstLineChars="200"/>
              <w:jc w:val="left"/>
              <w:rPr>
                <w:rFonts w:ascii="楷体" w:hAnsi="楷体" w:eastAsia="楷体"/>
                <w:bCs/>
                <w:sz w:val="21"/>
                <w:szCs w:val="21"/>
              </w:rPr>
            </w:pPr>
            <w:bookmarkStart w:id="15" w:name="_Toc509845128"/>
            <w:bookmarkStart w:id="16" w:name="_Toc521509439"/>
            <w:bookmarkStart w:id="17" w:name="_Toc509844796"/>
            <w:bookmarkStart w:id="18" w:name="_Toc509844106"/>
            <w:r>
              <w:rPr>
                <w:rFonts w:hint="eastAsia" w:ascii="楷体" w:hAnsi="楷体" w:eastAsia="楷体"/>
                <w:bCs/>
                <w:sz w:val="21"/>
                <w:szCs w:val="21"/>
              </w:rPr>
              <w:t xml:space="preserve">GB/T19000-2016   </w:t>
            </w:r>
          </w:p>
        </w:tc>
        <w:tc>
          <w:tcPr>
            <w:tcW w:w="5454" w:type="dxa"/>
            <w:tcBorders>
              <w:tl2br w:val="nil"/>
              <w:tr2bl w:val="nil"/>
            </w:tcBorders>
            <w:shd w:val="clear" w:color="auto" w:fill="auto"/>
            <w:noWrap/>
            <w:vAlign w:val="center"/>
          </w:tcPr>
          <w:p w14:paraId="688BC31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质量管理体系基础和术语</w:t>
            </w:r>
          </w:p>
        </w:tc>
      </w:tr>
      <w:tr w14:paraId="6C6F9668">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35C48B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GB/T19001-2016   </w:t>
            </w:r>
          </w:p>
        </w:tc>
        <w:tc>
          <w:tcPr>
            <w:tcW w:w="5454" w:type="dxa"/>
            <w:tcBorders>
              <w:tl2br w:val="nil"/>
              <w:tr2bl w:val="nil"/>
            </w:tcBorders>
            <w:shd w:val="clear" w:color="auto" w:fill="auto"/>
            <w:noWrap/>
            <w:vAlign w:val="center"/>
          </w:tcPr>
          <w:p w14:paraId="0AAFCF5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质量管理体系要求</w:t>
            </w:r>
          </w:p>
        </w:tc>
      </w:tr>
      <w:tr w14:paraId="255CA63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C884DF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16260-2006  </w:t>
            </w:r>
          </w:p>
        </w:tc>
        <w:tc>
          <w:tcPr>
            <w:tcW w:w="5454" w:type="dxa"/>
            <w:tcBorders>
              <w:tl2br w:val="nil"/>
              <w:tr2bl w:val="nil"/>
            </w:tcBorders>
            <w:shd w:val="clear" w:color="auto" w:fill="auto"/>
            <w:noWrap/>
            <w:vAlign w:val="center"/>
          </w:tcPr>
          <w:p w14:paraId="4D7EAB2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软件工程-产品质量</w:t>
            </w:r>
          </w:p>
        </w:tc>
      </w:tr>
      <w:tr w14:paraId="519401D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3B9DC15E">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GB8566-88</w:t>
            </w:r>
          </w:p>
        </w:tc>
        <w:tc>
          <w:tcPr>
            <w:tcW w:w="5454" w:type="dxa"/>
            <w:tcBorders>
              <w:tl2br w:val="nil"/>
              <w:tr2bl w:val="nil"/>
            </w:tcBorders>
            <w:shd w:val="clear" w:color="auto" w:fill="auto"/>
            <w:noWrap/>
            <w:vAlign w:val="center"/>
          </w:tcPr>
          <w:p w14:paraId="4F45BD4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计算机软件开发规范</w:t>
            </w:r>
          </w:p>
        </w:tc>
      </w:tr>
      <w:tr w14:paraId="366D606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69E4E8D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GB8567-88</w:t>
            </w:r>
          </w:p>
        </w:tc>
        <w:tc>
          <w:tcPr>
            <w:tcW w:w="5454" w:type="dxa"/>
            <w:tcBorders>
              <w:tl2br w:val="nil"/>
              <w:tr2bl w:val="nil"/>
            </w:tcBorders>
            <w:shd w:val="clear" w:color="auto" w:fill="auto"/>
            <w:noWrap/>
            <w:vAlign w:val="center"/>
          </w:tcPr>
          <w:p w14:paraId="3B74C19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计算机软件产品开发文件编制指南</w:t>
            </w:r>
          </w:p>
        </w:tc>
      </w:tr>
      <w:tr w14:paraId="7A27F8F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3773BC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GB9385-88</w:t>
            </w:r>
          </w:p>
        </w:tc>
        <w:tc>
          <w:tcPr>
            <w:tcW w:w="5454" w:type="dxa"/>
            <w:tcBorders>
              <w:tl2br w:val="nil"/>
              <w:tr2bl w:val="nil"/>
            </w:tcBorders>
            <w:shd w:val="clear" w:color="auto" w:fill="auto"/>
            <w:noWrap/>
            <w:vAlign w:val="center"/>
          </w:tcPr>
          <w:p w14:paraId="1D0EE05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5C2A8614">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2DA4A00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GB9386-88</w:t>
            </w:r>
          </w:p>
        </w:tc>
        <w:tc>
          <w:tcPr>
            <w:tcW w:w="5454" w:type="dxa"/>
            <w:tcBorders>
              <w:tl2br w:val="nil"/>
              <w:tr2bl w:val="nil"/>
            </w:tcBorders>
            <w:shd w:val="clear" w:color="auto" w:fill="auto"/>
            <w:noWrap/>
            <w:vAlign w:val="center"/>
          </w:tcPr>
          <w:p w14:paraId="3C3119D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计算机软件测试文件编制规范</w:t>
            </w:r>
          </w:p>
        </w:tc>
      </w:tr>
      <w:tr w14:paraId="5F544DD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7BBE7EA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13502-92</w:t>
            </w:r>
          </w:p>
        </w:tc>
        <w:tc>
          <w:tcPr>
            <w:tcW w:w="5454" w:type="dxa"/>
            <w:tcBorders>
              <w:tl2br w:val="nil"/>
              <w:tr2bl w:val="nil"/>
            </w:tcBorders>
            <w:shd w:val="clear" w:color="auto" w:fill="auto"/>
            <w:noWrap/>
            <w:vAlign w:val="center"/>
          </w:tcPr>
          <w:p w14:paraId="4A77225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信息处理-程序构造及其表示法的约定</w:t>
            </w:r>
          </w:p>
        </w:tc>
      </w:tr>
      <w:tr w14:paraId="1F7C8DB1">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1DCFB1A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15532-95</w:t>
            </w:r>
          </w:p>
        </w:tc>
        <w:tc>
          <w:tcPr>
            <w:tcW w:w="5454" w:type="dxa"/>
            <w:tcBorders>
              <w:tl2br w:val="nil"/>
              <w:tr2bl w:val="nil"/>
            </w:tcBorders>
            <w:shd w:val="clear" w:color="auto" w:fill="auto"/>
            <w:noWrap/>
            <w:vAlign w:val="center"/>
          </w:tcPr>
          <w:p w14:paraId="499E518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计算机软件单元测试</w:t>
            </w:r>
          </w:p>
        </w:tc>
      </w:tr>
      <w:tr w14:paraId="0B315FE4">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06A2103A">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14079-93</w:t>
            </w:r>
          </w:p>
        </w:tc>
        <w:tc>
          <w:tcPr>
            <w:tcW w:w="5454" w:type="dxa"/>
            <w:tcBorders>
              <w:tl2br w:val="nil"/>
              <w:tr2bl w:val="nil"/>
            </w:tcBorders>
            <w:shd w:val="clear" w:color="auto" w:fill="auto"/>
            <w:noWrap/>
            <w:vAlign w:val="center"/>
          </w:tcPr>
          <w:p w14:paraId="07BC0CE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软件维护指南</w:t>
            </w:r>
          </w:p>
        </w:tc>
      </w:tr>
      <w:tr w14:paraId="6262D12C">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32CD71B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9385-88</w:t>
            </w:r>
          </w:p>
        </w:tc>
        <w:tc>
          <w:tcPr>
            <w:tcW w:w="5454" w:type="dxa"/>
            <w:tcBorders>
              <w:tl2br w:val="nil"/>
              <w:tr2bl w:val="nil"/>
            </w:tcBorders>
            <w:shd w:val="clear" w:color="auto" w:fill="auto"/>
            <w:noWrap/>
            <w:vAlign w:val="center"/>
          </w:tcPr>
          <w:p w14:paraId="7DA37E8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计算机软件需求说明编制指南</w:t>
            </w:r>
          </w:p>
        </w:tc>
      </w:tr>
      <w:tr w14:paraId="5750C4CF">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441B2C8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9386-88</w:t>
            </w:r>
          </w:p>
        </w:tc>
        <w:tc>
          <w:tcPr>
            <w:tcW w:w="5454" w:type="dxa"/>
            <w:tcBorders>
              <w:tl2br w:val="nil"/>
              <w:tr2bl w:val="nil"/>
            </w:tcBorders>
            <w:shd w:val="clear" w:color="auto" w:fill="auto"/>
            <w:noWrap/>
            <w:vAlign w:val="center"/>
          </w:tcPr>
          <w:p w14:paraId="043D85A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计算机软件测试文件编制指南</w:t>
            </w:r>
          </w:p>
        </w:tc>
      </w:tr>
      <w:tr w14:paraId="699F690E">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51BD1AB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12504-90</w:t>
            </w:r>
          </w:p>
        </w:tc>
        <w:tc>
          <w:tcPr>
            <w:tcW w:w="5454" w:type="dxa"/>
            <w:tcBorders>
              <w:tl2br w:val="nil"/>
              <w:tr2bl w:val="nil"/>
            </w:tcBorders>
            <w:shd w:val="clear" w:color="auto" w:fill="auto"/>
            <w:noWrap/>
            <w:vAlign w:val="center"/>
          </w:tcPr>
          <w:p w14:paraId="6411556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计算机软件质量保证计划规范</w:t>
            </w:r>
          </w:p>
        </w:tc>
      </w:tr>
      <w:tr w14:paraId="5657A995">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221C70D8">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14394-93</w:t>
            </w:r>
          </w:p>
        </w:tc>
        <w:tc>
          <w:tcPr>
            <w:tcW w:w="5454" w:type="dxa"/>
            <w:tcBorders>
              <w:tl2br w:val="nil"/>
              <w:tr2bl w:val="nil"/>
            </w:tcBorders>
            <w:shd w:val="clear" w:color="auto" w:fill="auto"/>
            <w:noWrap/>
            <w:vAlign w:val="center"/>
          </w:tcPr>
          <w:p w14:paraId="2D56B9E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计算机软件可靠性和可维护性管理</w:t>
            </w:r>
          </w:p>
        </w:tc>
      </w:tr>
      <w:tr w14:paraId="22B93150">
        <w:tblPrEx>
          <w:tblCellMar>
            <w:top w:w="0" w:type="dxa"/>
            <w:left w:w="108" w:type="dxa"/>
            <w:bottom w:w="0" w:type="dxa"/>
            <w:right w:w="108" w:type="dxa"/>
          </w:tblCellMar>
        </w:tblPrEx>
        <w:trPr>
          <w:trHeight w:val="288" w:hRule="atLeast"/>
        </w:trPr>
        <w:tc>
          <w:tcPr>
            <w:tcW w:w="0" w:type="auto"/>
            <w:tcBorders>
              <w:tl2br w:val="nil"/>
              <w:tr2bl w:val="nil"/>
            </w:tcBorders>
            <w:shd w:val="clear" w:color="auto" w:fill="auto"/>
            <w:noWrap/>
            <w:vAlign w:val="center"/>
          </w:tcPr>
          <w:p w14:paraId="7B9F1E0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 16260-96</w:t>
            </w:r>
          </w:p>
        </w:tc>
        <w:tc>
          <w:tcPr>
            <w:tcW w:w="5454" w:type="dxa"/>
            <w:tcBorders>
              <w:tl2br w:val="nil"/>
              <w:tr2bl w:val="nil"/>
            </w:tcBorders>
            <w:shd w:val="clear" w:color="auto" w:fill="auto"/>
            <w:noWrap/>
            <w:vAlign w:val="center"/>
          </w:tcPr>
          <w:p w14:paraId="5D0B698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软件产品评价质量特性及其使用指南</w:t>
            </w:r>
          </w:p>
        </w:tc>
      </w:tr>
      <w:tr w14:paraId="64015C4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122CFD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 15049.1-1994    </w:t>
            </w:r>
          </w:p>
        </w:tc>
        <w:tc>
          <w:tcPr>
            <w:tcW w:w="5454" w:type="dxa"/>
            <w:tcBorders>
              <w:tl2br w:val="nil"/>
              <w:tr2bl w:val="nil"/>
            </w:tcBorders>
            <w:shd w:val="clear" w:color="auto" w:fill="auto"/>
            <w:noWrap/>
            <w:vAlign w:val="center"/>
          </w:tcPr>
          <w:p w14:paraId="383E972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 CAD标准件图形文件  编制总则</w:t>
            </w:r>
          </w:p>
        </w:tc>
      </w:tr>
      <w:tr w14:paraId="73AAF12A">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0E2A514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GB/T4588.3-2002</w:t>
            </w:r>
          </w:p>
        </w:tc>
        <w:tc>
          <w:tcPr>
            <w:tcW w:w="5454" w:type="dxa"/>
            <w:tcBorders>
              <w:tl2br w:val="nil"/>
              <w:tr2bl w:val="nil"/>
            </w:tcBorders>
            <w:shd w:val="clear" w:color="auto" w:fill="auto"/>
            <w:noWrap/>
            <w:vAlign w:val="center"/>
          </w:tcPr>
          <w:p w14:paraId="74149FD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《印制电路板设计和使用》</w:t>
            </w:r>
          </w:p>
        </w:tc>
      </w:tr>
      <w:tr w14:paraId="7F2AE21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F4EB4B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GB/T4677-2002  </w:t>
            </w:r>
          </w:p>
        </w:tc>
        <w:tc>
          <w:tcPr>
            <w:tcW w:w="5454" w:type="dxa"/>
            <w:tcBorders>
              <w:tl2br w:val="nil"/>
              <w:tr2bl w:val="nil"/>
            </w:tcBorders>
            <w:shd w:val="clear" w:color="auto" w:fill="auto"/>
            <w:noWrap/>
            <w:vAlign w:val="center"/>
          </w:tcPr>
          <w:p w14:paraId="7C9BEE65">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 测试方法》</w:t>
            </w:r>
          </w:p>
        </w:tc>
      </w:tr>
      <w:tr w14:paraId="3A361CDD">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F1D315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GB/T5489-1985  </w:t>
            </w:r>
          </w:p>
        </w:tc>
        <w:tc>
          <w:tcPr>
            <w:tcW w:w="5454" w:type="dxa"/>
            <w:tcBorders>
              <w:tl2br w:val="nil"/>
              <w:tr2bl w:val="nil"/>
            </w:tcBorders>
            <w:shd w:val="clear" w:color="auto" w:fill="auto"/>
            <w:noWrap/>
            <w:vAlign w:val="center"/>
          </w:tcPr>
          <w:p w14:paraId="7074AF1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《印制板图》</w:t>
            </w:r>
          </w:p>
        </w:tc>
      </w:tr>
      <w:tr w14:paraId="21FF2C2C">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0263B79">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GB/T9315-1988  </w:t>
            </w:r>
          </w:p>
        </w:tc>
        <w:tc>
          <w:tcPr>
            <w:tcW w:w="5454" w:type="dxa"/>
            <w:tcBorders>
              <w:tl2br w:val="nil"/>
              <w:tr2bl w:val="nil"/>
            </w:tcBorders>
            <w:shd w:val="clear" w:color="auto" w:fill="auto"/>
            <w:noWrap/>
            <w:vAlign w:val="center"/>
          </w:tcPr>
          <w:p w14:paraId="1A62929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《印制电路板外形尺寸系列》</w:t>
            </w:r>
          </w:p>
        </w:tc>
      </w:tr>
      <w:tr w14:paraId="0A3537E1">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3A4240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GB/T16261-1996 </w:t>
            </w:r>
          </w:p>
        </w:tc>
        <w:tc>
          <w:tcPr>
            <w:tcW w:w="5454" w:type="dxa"/>
            <w:tcBorders>
              <w:tl2br w:val="nil"/>
              <w:tr2bl w:val="nil"/>
            </w:tcBorders>
            <w:shd w:val="clear" w:color="auto" w:fill="auto"/>
            <w:noWrap/>
            <w:vAlign w:val="center"/>
          </w:tcPr>
          <w:p w14:paraId="22EA4E4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《印制板总规范》</w:t>
            </w:r>
          </w:p>
        </w:tc>
      </w:tr>
      <w:tr w14:paraId="61CAB15B">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F5BE6B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GB/T4728.1-1985</w:t>
            </w:r>
          </w:p>
        </w:tc>
        <w:tc>
          <w:tcPr>
            <w:tcW w:w="5454" w:type="dxa"/>
            <w:tcBorders>
              <w:tl2br w:val="nil"/>
              <w:tr2bl w:val="nil"/>
            </w:tcBorders>
            <w:shd w:val="clear" w:color="auto" w:fill="auto"/>
            <w:noWrap/>
            <w:vAlign w:val="center"/>
          </w:tcPr>
          <w:p w14:paraId="5C2122B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《电气图用图形符合  总则》</w:t>
            </w:r>
          </w:p>
        </w:tc>
      </w:tr>
      <w:tr w14:paraId="5E31021C">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54CA0BF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GB/T5465.1-1996</w:t>
            </w:r>
          </w:p>
        </w:tc>
        <w:tc>
          <w:tcPr>
            <w:tcW w:w="5454" w:type="dxa"/>
            <w:tcBorders>
              <w:tl2br w:val="nil"/>
              <w:tr2bl w:val="nil"/>
            </w:tcBorders>
            <w:shd w:val="clear" w:color="auto" w:fill="auto"/>
            <w:noWrap/>
            <w:vAlign w:val="center"/>
          </w:tcPr>
          <w:p w14:paraId="3592B79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《电气设备用图形符合绘制原则》</w:t>
            </w:r>
          </w:p>
        </w:tc>
      </w:tr>
      <w:tr w14:paraId="28E1849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DF1D362">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GB/T5465.2-1996</w:t>
            </w:r>
          </w:p>
        </w:tc>
        <w:tc>
          <w:tcPr>
            <w:tcW w:w="5454" w:type="dxa"/>
            <w:tcBorders>
              <w:tl2br w:val="nil"/>
              <w:tr2bl w:val="nil"/>
            </w:tcBorders>
            <w:shd w:val="clear" w:color="auto" w:fill="auto"/>
            <w:noWrap/>
            <w:vAlign w:val="center"/>
          </w:tcPr>
          <w:p w14:paraId="780D2F24">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《电气设备用图形符号》</w:t>
            </w:r>
          </w:p>
        </w:tc>
      </w:tr>
      <w:tr w14:paraId="6E066A6B">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446753E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GB/T6988.2-1997</w:t>
            </w:r>
          </w:p>
        </w:tc>
        <w:tc>
          <w:tcPr>
            <w:tcW w:w="5454" w:type="dxa"/>
            <w:tcBorders>
              <w:tl2br w:val="nil"/>
              <w:tr2bl w:val="nil"/>
            </w:tcBorders>
            <w:shd w:val="clear" w:color="auto" w:fill="auto"/>
            <w:noWrap/>
            <w:vAlign w:val="center"/>
          </w:tcPr>
          <w:p w14:paraId="17D21CF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第2部分：功能性简图》</w:t>
            </w:r>
          </w:p>
        </w:tc>
      </w:tr>
      <w:tr w14:paraId="1F284725">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17A96283">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GB/T6988.3-1997</w:t>
            </w:r>
          </w:p>
        </w:tc>
        <w:tc>
          <w:tcPr>
            <w:tcW w:w="5454" w:type="dxa"/>
            <w:tcBorders>
              <w:tl2br w:val="nil"/>
              <w:tr2bl w:val="nil"/>
            </w:tcBorders>
            <w:shd w:val="clear" w:color="auto" w:fill="auto"/>
            <w:noWrap/>
            <w:vAlign w:val="center"/>
          </w:tcPr>
          <w:p w14:paraId="04FAED0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《电器技术用文件的编织 第3部分：接线图和接线》</w:t>
            </w:r>
          </w:p>
        </w:tc>
      </w:tr>
      <w:tr w14:paraId="13DA4B67">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2CDFC77">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GB/T4943-2001  》</w:t>
            </w:r>
          </w:p>
        </w:tc>
        <w:tc>
          <w:tcPr>
            <w:tcW w:w="5454" w:type="dxa"/>
            <w:tcBorders>
              <w:tl2br w:val="nil"/>
              <w:tr2bl w:val="nil"/>
            </w:tcBorders>
            <w:shd w:val="clear" w:color="auto" w:fill="auto"/>
            <w:noWrap/>
            <w:vAlign w:val="center"/>
          </w:tcPr>
          <w:p w14:paraId="68D29C3F">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《信息技术设备的安全</w:t>
            </w:r>
          </w:p>
        </w:tc>
      </w:tr>
      <w:tr w14:paraId="6F4FCC2F">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2F72928C">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GB/T2423-2000  </w:t>
            </w:r>
          </w:p>
        </w:tc>
        <w:tc>
          <w:tcPr>
            <w:tcW w:w="5454" w:type="dxa"/>
            <w:tcBorders>
              <w:tl2br w:val="nil"/>
              <w:tr2bl w:val="nil"/>
            </w:tcBorders>
            <w:shd w:val="clear" w:color="auto" w:fill="auto"/>
            <w:noWrap/>
            <w:vAlign w:val="center"/>
          </w:tcPr>
          <w:p w14:paraId="7F1DDFBB">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《电工电子产品基本环境试验规程》</w:t>
            </w:r>
          </w:p>
        </w:tc>
      </w:tr>
      <w:tr w14:paraId="55722063">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B3DA52E">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JB/T5517-1991  </w:t>
            </w:r>
          </w:p>
        </w:tc>
        <w:tc>
          <w:tcPr>
            <w:tcW w:w="5454" w:type="dxa"/>
            <w:tcBorders>
              <w:tl2br w:val="nil"/>
              <w:tr2bl w:val="nil"/>
            </w:tcBorders>
            <w:shd w:val="clear" w:color="auto" w:fill="auto"/>
            <w:noWrap/>
            <w:vAlign w:val="center"/>
          </w:tcPr>
          <w:p w14:paraId="170DA64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《光学仪器、电气防护、安全要求》</w:t>
            </w:r>
          </w:p>
        </w:tc>
      </w:tr>
      <w:tr w14:paraId="7167575F">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629A0956">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 xml:space="preserve">AG/CX4.2-03    </w:t>
            </w:r>
          </w:p>
        </w:tc>
        <w:tc>
          <w:tcPr>
            <w:tcW w:w="5454" w:type="dxa"/>
            <w:tcBorders>
              <w:tl2br w:val="nil"/>
              <w:tr2bl w:val="nil"/>
            </w:tcBorders>
            <w:shd w:val="clear" w:color="auto" w:fill="auto"/>
            <w:noWrap/>
            <w:vAlign w:val="center"/>
          </w:tcPr>
          <w:p w14:paraId="2848E2A1">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《科技文件归档控制程序》</w:t>
            </w:r>
          </w:p>
        </w:tc>
      </w:tr>
      <w:tr w14:paraId="73F22DEA">
        <w:tblPrEx>
          <w:tblCellMar>
            <w:top w:w="0" w:type="dxa"/>
            <w:left w:w="108" w:type="dxa"/>
            <w:bottom w:w="0" w:type="dxa"/>
            <w:right w:w="108" w:type="dxa"/>
          </w:tblCellMar>
        </w:tblPrEx>
        <w:trPr>
          <w:trHeight w:val="288" w:hRule="atLeast"/>
        </w:trPr>
        <w:tc>
          <w:tcPr>
            <w:tcW w:w="3086" w:type="dxa"/>
            <w:tcBorders>
              <w:tl2br w:val="nil"/>
              <w:tr2bl w:val="nil"/>
            </w:tcBorders>
            <w:shd w:val="clear" w:color="auto" w:fill="auto"/>
            <w:noWrap/>
            <w:vAlign w:val="center"/>
          </w:tcPr>
          <w:p w14:paraId="7C7CB5C0">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GB/T4458.1-4459.7-1998</w:t>
            </w:r>
          </w:p>
        </w:tc>
        <w:tc>
          <w:tcPr>
            <w:tcW w:w="5454" w:type="dxa"/>
            <w:tcBorders>
              <w:tl2br w:val="nil"/>
              <w:tr2bl w:val="nil"/>
            </w:tcBorders>
            <w:shd w:val="clear" w:color="auto" w:fill="auto"/>
            <w:noWrap/>
            <w:vAlign w:val="center"/>
          </w:tcPr>
          <w:p w14:paraId="7A2D52DD">
            <w:pPr>
              <w:autoSpaceDE w:val="0"/>
              <w:autoSpaceDN w:val="0"/>
              <w:adjustRightInd w:val="0"/>
              <w:spacing w:line="400" w:lineRule="exact"/>
              <w:ind w:firstLine="420" w:firstLineChars="200"/>
              <w:jc w:val="left"/>
              <w:rPr>
                <w:rFonts w:ascii="楷体" w:hAnsi="楷体" w:eastAsia="楷体"/>
                <w:bCs/>
                <w:sz w:val="21"/>
                <w:szCs w:val="21"/>
              </w:rPr>
            </w:pPr>
            <w:r>
              <w:rPr>
                <w:rFonts w:hint="eastAsia" w:ascii="楷体" w:hAnsi="楷体" w:eastAsia="楷体"/>
                <w:bCs/>
                <w:sz w:val="21"/>
                <w:szCs w:val="21"/>
              </w:rPr>
              <w:t>《技术制图标准》</w:t>
            </w:r>
          </w:p>
        </w:tc>
      </w:tr>
    </w:tbl>
    <w:p w14:paraId="42F09104">
      <w:pPr>
        <w:pStyle w:val="2"/>
        <w:spacing w:line="400" w:lineRule="exact"/>
        <w:rPr>
          <w:rFonts w:ascii="宋体" w:hAnsi="宋体"/>
          <w:szCs w:val="28"/>
        </w:rPr>
      </w:pPr>
      <w:r>
        <w:rPr>
          <w:rFonts w:hint="eastAsia" w:ascii="宋体" w:hAnsi="宋体"/>
          <w:sz w:val="28"/>
          <w:szCs w:val="28"/>
        </w:rPr>
        <w:t>3术语和定义</w:t>
      </w:r>
      <w:bookmarkEnd w:id="15"/>
      <w:bookmarkEnd w:id="16"/>
      <w:bookmarkEnd w:id="17"/>
      <w:bookmarkEnd w:id="18"/>
    </w:p>
    <w:p w14:paraId="390516E8">
      <w:pPr>
        <w:widowControl/>
        <w:spacing w:line="400" w:lineRule="exact"/>
        <w:ind w:firstLine="420" w:firstLineChars="200"/>
        <w:rPr>
          <w:rFonts w:ascii="楷体" w:hAnsi="楷体" w:eastAsia="楷体" w:cs="楷体_GB2312"/>
          <w:b/>
          <w:color w:val="000000"/>
          <w:sz w:val="21"/>
          <w:szCs w:val="21"/>
        </w:rPr>
      </w:pPr>
      <w:r>
        <w:rPr>
          <w:rFonts w:hint="eastAsia" w:ascii="宋体" w:hAnsi="宋体"/>
          <w:sz w:val="21"/>
          <w:szCs w:val="21"/>
        </w:rPr>
        <w:t>本手册采用</w:t>
      </w:r>
      <w:r>
        <w:rPr>
          <w:rFonts w:ascii="宋体" w:hAnsi="宋体"/>
          <w:sz w:val="21"/>
          <w:szCs w:val="21"/>
        </w:rPr>
        <w:t>GB/T19000</w:t>
      </w:r>
      <w:r>
        <w:rPr>
          <w:rFonts w:hint="eastAsia" w:ascii="宋体" w:hAnsi="宋体"/>
          <w:sz w:val="21"/>
          <w:szCs w:val="21"/>
        </w:rPr>
        <w:t>-2016及GB/T</w:t>
      </w:r>
      <w:r>
        <w:rPr>
          <w:rFonts w:ascii="宋体" w:hAnsi="宋体"/>
          <w:sz w:val="21"/>
          <w:szCs w:val="21"/>
        </w:rPr>
        <w:t xml:space="preserve"> </w:t>
      </w:r>
      <w:r>
        <w:rPr>
          <w:rFonts w:hint="eastAsia" w:ascii="宋体" w:hAnsi="宋体"/>
          <w:sz w:val="21"/>
          <w:szCs w:val="21"/>
        </w:rPr>
        <w:t>11457-2006  信息技术 软件工程术语中确定的术语和定义。</w:t>
      </w:r>
    </w:p>
    <w:p w14:paraId="057EE6FC">
      <w:pPr>
        <w:pStyle w:val="2"/>
        <w:spacing w:line="400" w:lineRule="exact"/>
        <w:rPr>
          <w:rFonts w:ascii="宋体" w:hAnsi="宋体"/>
          <w:sz w:val="28"/>
          <w:szCs w:val="28"/>
        </w:rPr>
      </w:pPr>
      <w:bookmarkStart w:id="19" w:name="_Toc509844797"/>
      <w:bookmarkStart w:id="20" w:name="_Toc509844107"/>
      <w:bookmarkStart w:id="21" w:name="_Toc521509440"/>
      <w:bookmarkStart w:id="22" w:name="_Toc509845129"/>
      <w:r>
        <w:rPr>
          <w:rFonts w:hint="eastAsia" w:ascii="宋体" w:hAnsi="宋体"/>
          <w:sz w:val="28"/>
          <w:szCs w:val="28"/>
        </w:rPr>
        <w:t>4组织环境</w:t>
      </w:r>
      <w:bookmarkEnd w:id="19"/>
      <w:bookmarkEnd w:id="20"/>
      <w:bookmarkEnd w:id="21"/>
      <w:bookmarkEnd w:id="22"/>
    </w:p>
    <w:p w14:paraId="4524AF50">
      <w:pPr>
        <w:pStyle w:val="3"/>
        <w:spacing w:before="120" w:beforeLines="50" w:after="120" w:afterLines="50" w:line="400" w:lineRule="exact"/>
        <w:rPr>
          <w:rFonts w:ascii="宋体" w:hAnsi="宋体" w:eastAsia="宋体"/>
          <w:sz w:val="24"/>
          <w:szCs w:val="24"/>
        </w:rPr>
      </w:pPr>
      <w:bookmarkStart w:id="23" w:name="_Toc509844108"/>
      <w:bookmarkStart w:id="24" w:name="_Toc509845130"/>
      <w:bookmarkStart w:id="25" w:name="_Toc509844798"/>
      <w:bookmarkStart w:id="26" w:name="_Toc521509441"/>
      <w:r>
        <w:rPr>
          <w:rFonts w:hint="eastAsia" w:ascii="宋体" w:hAnsi="宋体" w:eastAsia="宋体"/>
          <w:sz w:val="24"/>
          <w:szCs w:val="24"/>
        </w:rPr>
        <w:t>4.1理解组织及其环境</w:t>
      </w:r>
      <w:bookmarkEnd w:id="23"/>
      <w:bookmarkEnd w:id="24"/>
      <w:bookmarkEnd w:id="25"/>
      <w:bookmarkEnd w:id="26"/>
    </w:p>
    <w:p w14:paraId="67860FAC">
      <w:pPr>
        <w:spacing w:line="400" w:lineRule="exact"/>
        <w:ind w:firstLine="420" w:firstLineChars="200"/>
        <w:rPr>
          <w:rFonts w:ascii="宋体" w:hAnsi="宋体"/>
          <w:color w:val="FF0000"/>
          <w:sz w:val="21"/>
          <w:szCs w:val="21"/>
        </w:rPr>
      </w:pPr>
      <w:r>
        <w:rPr>
          <w:rFonts w:ascii="宋体" w:hAnsi="宋体"/>
          <w:sz w:val="21"/>
          <w:szCs w:val="21"/>
        </w:rPr>
        <w:t>公司领导层确定</w:t>
      </w:r>
      <w:r>
        <w:rPr>
          <w:rFonts w:hint="eastAsia" w:ascii="宋体" w:hAnsi="宋体"/>
          <w:sz w:val="21"/>
          <w:szCs w:val="21"/>
        </w:rPr>
        <w:t>公司宗旨“高效、创新”。</w:t>
      </w:r>
      <w:r>
        <w:rPr>
          <w:rFonts w:hAnsi="Arial" w:cs="宋体"/>
          <w:color w:val="000000"/>
          <w:sz w:val="21"/>
          <w:szCs w:val="21"/>
        </w:rPr>
        <w:t>确定影响其实现质量管理体系预期结果的各种外部和内部因素。</w:t>
      </w:r>
      <w:r>
        <w:rPr>
          <w:rFonts w:hint="eastAsia" w:ascii="宋体" w:hAnsi="宋体"/>
          <w:color w:val="FF0000"/>
          <w:sz w:val="21"/>
          <w:szCs w:val="21"/>
        </w:rPr>
        <w:t xml:space="preserve"> </w:t>
      </w:r>
    </w:p>
    <w:p w14:paraId="06761299">
      <w:pPr>
        <w:spacing w:line="400" w:lineRule="exact"/>
        <w:ind w:firstLine="420" w:firstLineChars="200"/>
        <w:rPr>
          <w:rFonts w:ascii="宋体" w:hAnsi="宋体"/>
          <w:sz w:val="21"/>
          <w:szCs w:val="21"/>
        </w:rPr>
      </w:pPr>
      <w:r>
        <w:rPr>
          <w:rFonts w:hint="eastAsia" w:ascii="宋体" w:hAnsi="宋体"/>
          <w:sz w:val="21"/>
          <w:szCs w:val="21"/>
        </w:rPr>
        <w:t>本公司目前研制的</w:t>
      </w:r>
      <w:r>
        <w:rPr>
          <w:rFonts w:ascii="宋体" w:hAnsi="宋体"/>
          <w:sz w:val="21"/>
          <w:szCs w:val="21"/>
        </w:rPr>
        <w:t>主要</w:t>
      </w:r>
      <w:r>
        <w:rPr>
          <w:rFonts w:hint="eastAsia" w:ascii="宋体" w:hAnsi="宋体"/>
          <w:sz w:val="21"/>
          <w:szCs w:val="21"/>
        </w:rPr>
        <w:t>产品包括：智能危险化学品（气瓶）特性识别系统、气体泄漏在线监测系统、危险化学品试剂管控、危险废弃物处置监控系统、楼宇消防灭火器、多级安全动态检查（危险源辨识）平台、安全综合管理分析、单位区域3D动态监测控制系统 、人的行为跟踪系统、智能安全培训考试平台、人脸识别、视频跟踪及测温系统、实验室科研数据成文信息平台、辐射安全监测等系统，以及智能安全储存试剂柜系列产品的设计、开发、生产和服务。</w:t>
      </w:r>
    </w:p>
    <w:p w14:paraId="710CDB1C">
      <w:pPr>
        <w:spacing w:line="400" w:lineRule="exact"/>
        <w:ind w:firstLine="420" w:firstLineChars="200"/>
        <w:rPr>
          <w:rFonts w:ascii="宋体" w:hAnsi="宋体"/>
          <w:sz w:val="21"/>
          <w:szCs w:val="21"/>
        </w:rPr>
      </w:pPr>
      <w:r>
        <w:rPr>
          <w:rFonts w:hint="eastAsia" w:ascii="宋体" w:hAnsi="宋体"/>
          <w:sz w:val="21"/>
          <w:szCs w:val="21"/>
        </w:rPr>
        <w:t>因公司的经营活动和所处的行业地位、市场份额、客户群发展时期等不确定性和受多种因素影响的复杂性，与经营宗旨和战略方向相关并影响其实现质量管理体系预期结果的各种外部和内部因素是不断变化的，质量管理部协助公司总经理组织公司各部门识别、分析、确定外部和内部因素，在质量管理体系的建设、实施、保持和改进中，进行审慎的分析，输入至环境分析表，以适应不同的内外部环境，做出正确的决策，使质量管理体系真正融入公司的经营环境中，不断提高质量管理体系运行的有效性和效率，提高公司的整体绩效。</w:t>
      </w:r>
    </w:p>
    <w:p w14:paraId="565B5524">
      <w:pPr>
        <w:spacing w:line="400" w:lineRule="exact"/>
        <w:ind w:firstLine="371" w:firstLineChars="177"/>
        <w:rPr>
          <w:rFonts w:ascii="宋体" w:hAnsi="宋体"/>
          <w:sz w:val="21"/>
          <w:szCs w:val="21"/>
        </w:rPr>
      </w:pPr>
      <w:r>
        <w:rPr>
          <w:rFonts w:hint="eastAsia" w:ascii="宋体" w:hAnsi="宋体"/>
          <w:sz w:val="21"/>
          <w:szCs w:val="21"/>
        </w:rPr>
        <w:t>公司的外部环境主要因素有：1)来自国外敌对国家安全的威胁，台独、民族分裂等不稳定因素突出，对电子信息软件产品需求迫切；2)电子信息产业持续稳定增产，以“一带一路”“互联网+”行动计划为代表的重大战略举措，物联网、云计算、大数据、人工智能等一系列政策相继出台，进一步推动了电子行业发展；3)国家大力推动军民融合深度发展，军队管理体制不断完善，装备招标采购持续推进；4)优势民企和软件行业大举进入，领域竞争更加激烈，国家对军队信息化建设提出了更高要求，实战化运用、联合作战、网络信息体系、全域作战等新理念意味着更注重信息化的作战能力生成；5)改革和发展带来重大机遇和更大挑战；6)国家法律法规、标准的不断更新，军队使用需求的保障条件的变化等因素；7)公司所处的行业地位、市场份额、客户群。8）疫情造成的影响。</w:t>
      </w:r>
    </w:p>
    <w:p w14:paraId="114DF596">
      <w:pPr>
        <w:spacing w:line="400" w:lineRule="exact"/>
        <w:ind w:firstLine="420" w:firstLineChars="200"/>
        <w:rPr>
          <w:rFonts w:ascii="宋体" w:hAnsi="宋体"/>
          <w:sz w:val="21"/>
          <w:szCs w:val="21"/>
        </w:rPr>
      </w:pPr>
      <w:r>
        <w:rPr>
          <w:rFonts w:hint="eastAsia" w:ascii="宋体" w:hAnsi="宋体"/>
          <w:sz w:val="21"/>
          <w:szCs w:val="21"/>
        </w:rPr>
        <w:t>公司内部环境主要因素有：综合考虑发展因素、人力资源因素、基础设施因素、知识因素、财务因素和公司绩效等。</w:t>
      </w:r>
    </w:p>
    <w:p w14:paraId="381F02E1">
      <w:pPr>
        <w:spacing w:line="400" w:lineRule="exact"/>
        <w:ind w:firstLine="371" w:firstLineChars="177"/>
        <w:rPr>
          <w:rFonts w:ascii="宋体" w:hAnsi="宋体"/>
          <w:sz w:val="24"/>
        </w:rPr>
      </w:pPr>
      <w:r>
        <w:rPr>
          <w:rFonts w:hint="eastAsia" w:ascii="宋体" w:hAnsi="宋体"/>
          <w:sz w:val="21"/>
          <w:szCs w:val="21"/>
        </w:rPr>
        <w:t>综合行政部是理解组织及环境的归口管理部门。公司《内外部环境识别与管理程序》（HY-CX</w:t>
      </w:r>
      <w:r>
        <w:rPr>
          <w:rFonts w:ascii="宋体" w:hAnsi="宋体"/>
          <w:sz w:val="21"/>
          <w:szCs w:val="21"/>
        </w:rPr>
        <w:t>-</w:t>
      </w:r>
      <w:r>
        <w:rPr>
          <w:rFonts w:hint="eastAsia" w:ascii="宋体" w:hAnsi="宋体"/>
          <w:sz w:val="21"/>
          <w:szCs w:val="21"/>
        </w:rPr>
        <w:t>09</w:t>
      </w:r>
      <w:r>
        <w:rPr>
          <w:rFonts w:ascii="宋体" w:hAnsi="宋体"/>
          <w:sz w:val="21"/>
          <w:szCs w:val="21"/>
        </w:rPr>
        <w:t>-202</w:t>
      </w:r>
      <w:r>
        <w:rPr>
          <w:rFonts w:hint="eastAsia" w:ascii="宋体" w:hAnsi="宋体"/>
          <w:sz w:val="21"/>
          <w:szCs w:val="21"/>
        </w:rPr>
        <w:t>2）对公司内外部环境因素进行了识别，确定了内外部因素信息的获取，监视和评审所需的人员、方法、内容、时间等，内外部环境评价报告作为管理评审输入文件提交公司管理评审，以便于公司的决策。当内外部环境发生重大变化时，应及时提出应对措施，报公司管理层审批后实施。</w:t>
      </w:r>
    </w:p>
    <w:p w14:paraId="2A9A52D7">
      <w:pPr>
        <w:widowControl/>
        <w:spacing w:line="400" w:lineRule="exact"/>
        <w:ind w:firstLine="443" w:firstLineChars="210"/>
        <w:rPr>
          <w:rFonts w:ascii="宋体" w:hAnsi="宋体"/>
          <w:sz w:val="21"/>
          <w:szCs w:val="21"/>
        </w:rPr>
      </w:pPr>
      <w:r>
        <w:rPr>
          <w:rFonts w:hint="eastAsia" w:ascii="楷体" w:hAnsi="楷体" w:eastAsia="楷体" w:cs="楷体_GB2312"/>
          <w:b/>
          <w:color w:val="000000"/>
          <w:sz w:val="21"/>
          <w:szCs w:val="21"/>
        </w:rPr>
        <w:t>公司应确定与所承担任务相关的法规标准、使用需求、保障条件等影响因素</w:t>
      </w:r>
      <w:r>
        <w:rPr>
          <w:rFonts w:hint="eastAsia" w:ascii="宋体" w:hAnsi="宋体"/>
          <w:sz w:val="21"/>
          <w:szCs w:val="21"/>
        </w:rPr>
        <w:t>（见附录A：《产品适用的法律、法规及标准目录》）。</w:t>
      </w:r>
    </w:p>
    <w:p w14:paraId="30322203">
      <w:pPr>
        <w:pStyle w:val="3"/>
        <w:spacing w:before="120" w:beforeLines="50" w:after="120" w:afterLines="50" w:line="400" w:lineRule="exact"/>
        <w:rPr>
          <w:rFonts w:ascii="宋体" w:hAnsi="宋体" w:eastAsia="宋体"/>
          <w:sz w:val="24"/>
          <w:szCs w:val="24"/>
        </w:rPr>
      </w:pPr>
      <w:bookmarkStart w:id="27" w:name="_Toc509844799"/>
      <w:bookmarkStart w:id="28" w:name="_Toc509844109"/>
      <w:bookmarkStart w:id="29" w:name="_Toc509845131"/>
      <w:bookmarkStart w:id="30" w:name="_Toc521509442"/>
      <w:r>
        <w:rPr>
          <w:rFonts w:hint="eastAsia" w:ascii="宋体" w:hAnsi="宋体" w:eastAsia="宋体"/>
          <w:sz w:val="24"/>
          <w:szCs w:val="24"/>
        </w:rPr>
        <w:t>4.2理解相关方的需求和期望</w:t>
      </w:r>
      <w:bookmarkEnd w:id="27"/>
      <w:bookmarkEnd w:id="28"/>
      <w:bookmarkEnd w:id="29"/>
      <w:bookmarkEnd w:id="30"/>
    </w:p>
    <w:p w14:paraId="22785451">
      <w:pPr>
        <w:spacing w:line="400" w:lineRule="exact"/>
        <w:ind w:firstLine="424" w:firstLineChars="202"/>
        <w:rPr>
          <w:rFonts w:ascii="宋体" w:hAnsi="宋体"/>
          <w:sz w:val="21"/>
          <w:szCs w:val="21"/>
        </w:rPr>
      </w:pPr>
      <w:r>
        <w:rPr>
          <w:rFonts w:hint="eastAsia" w:ascii="宋体" w:hAnsi="宋体"/>
          <w:sz w:val="21"/>
          <w:szCs w:val="21"/>
        </w:rPr>
        <w:t>由于相关方对公司稳定提供符合顾客要求及适用法律法规要求的产品和服务的能力具有影响或潜在影响，因此，公司目前确定：</w:t>
      </w:r>
    </w:p>
    <w:p w14:paraId="4A1FD89A">
      <w:pPr>
        <w:spacing w:line="400" w:lineRule="exact"/>
        <w:ind w:firstLine="424" w:firstLineChars="202"/>
        <w:rPr>
          <w:rFonts w:ascii="宋体" w:hAnsi="宋体"/>
          <w:sz w:val="21"/>
          <w:szCs w:val="21"/>
        </w:rPr>
      </w:pPr>
      <w:r>
        <w:rPr>
          <w:rFonts w:hint="eastAsia" w:ascii="宋体" w:hAnsi="宋体"/>
          <w:sz w:val="21"/>
          <w:szCs w:val="21"/>
        </w:rPr>
        <w:t xml:space="preserve">a）与质量管理体系有关的相关方  </w:t>
      </w:r>
    </w:p>
    <w:p w14:paraId="71836F5B">
      <w:pPr>
        <w:spacing w:line="400" w:lineRule="exact"/>
        <w:ind w:firstLine="424" w:firstLineChars="202"/>
        <w:rPr>
          <w:rFonts w:ascii="宋体" w:hAnsi="宋体"/>
          <w:sz w:val="21"/>
          <w:szCs w:val="21"/>
        </w:rPr>
      </w:pPr>
      <w:r>
        <w:rPr>
          <w:rFonts w:hint="eastAsia" w:ascii="宋体" w:hAnsi="宋体"/>
          <w:sz w:val="21"/>
          <w:szCs w:val="21"/>
        </w:rPr>
        <w:t xml:space="preserve">顾客（订购、使用和管理方、应急管理部门、科技厅、中科院等）、外部供方、有关政府机关、员工、合作伙伴、相对独立的资质认可机构、检验检测机构、竞争对手等。  </w:t>
      </w:r>
    </w:p>
    <w:p w14:paraId="1A694425">
      <w:pPr>
        <w:spacing w:line="400" w:lineRule="exact"/>
        <w:ind w:firstLine="424" w:firstLineChars="202"/>
        <w:rPr>
          <w:rFonts w:ascii="宋体" w:hAnsi="宋体"/>
          <w:sz w:val="21"/>
          <w:szCs w:val="21"/>
        </w:rPr>
      </w:pPr>
      <w:r>
        <w:rPr>
          <w:rFonts w:hint="eastAsia" w:ascii="宋体" w:hAnsi="宋体"/>
          <w:sz w:val="21"/>
          <w:szCs w:val="21"/>
        </w:rPr>
        <w:t xml:space="preserve">b）确定与质量管理体系有关的相关方的要求  </w:t>
      </w:r>
      <w:r>
        <w:rPr>
          <w:rFonts w:hint="eastAsia" w:ascii="宋体" w:hAnsi="宋体"/>
          <w:sz w:val="21"/>
          <w:szCs w:val="21"/>
        </w:rPr>
        <w:cr/>
      </w:r>
      <w:r>
        <w:rPr>
          <w:rFonts w:hint="eastAsia" w:ascii="宋体" w:hAnsi="宋体"/>
          <w:sz w:val="21"/>
          <w:szCs w:val="21"/>
        </w:rPr>
        <w:t xml:space="preserve">   与质量管理体系有关的相关方的要求和期望，主要包括：产品实现和提供过程受控、功能性能先进、质量稳定可靠、按合同履约、服务及时、满足一体化联合作战要求，采购周期合理，有利润空间，合法合规经营，主营业务稳定增长、提升体系总体能力、收入水平持续提升、工作环境不断改善、职业发展通道畅通、合作共赢等。通过销售合同、外购外协合同或技术协议、行业规范式标准、资质认可、评分受控、规章制度等多种方式体现。</w:t>
      </w:r>
    </w:p>
    <w:p w14:paraId="56E17AED">
      <w:pPr>
        <w:spacing w:line="400" w:lineRule="exact"/>
        <w:ind w:firstLine="424" w:firstLineChars="202"/>
        <w:rPr>
          <w:rFonts w:ascii="宋体" w:hAnsi="宋体"/>
          <w:color w:val="FF0000"/>
          <w:sz w:val="21"/>
          <w:szCs w:val="21"/>
        </w:rPr>
      </w:pPr>
      <w:r>
        <w:rPr>
          <w:rFonts w:hint="eastAsia" w:ascii="宋体" w:hAnsi="宋体"/>
          <w:sz w:val="21"/>
          <w:szCs w:val="21"/>
        </w:rPr>
        <w:t>鉴于相关方及其要求可能不断变换，对质量管理体系产生影响，公司各部门应按《相关方需求和期望管理程序》（</w:t>
      </w:r>
      <w:r>
        <w:rPr>
          <w:rFonts w:hint="eastAsia"/>
          <w:sz w:val="21"/>
          <w:szCs w:val="21"/>
        </w:rPr>
        <w:t>HY-CX</w:t>
      </w:r>
      <w:r>
        <w:rPr>
          <w:sz w:val="21"/>
          <w:szCs w:val="21"/>
        </w:rPr>
        <w:t>-</w:t>
      </w:r>
      <w:r>
        <w:rPr>
          <w:rFonts w:hint="eastAsia"/>
          <w:sz w:val="21"/>
          <w:szCs w:val="21"/>
        </w:rPr>
        <w:t>10</w:t>
      </w:r>
      <w:r>
        <w:rPr>
          <w:sz w:val="21"/>
          <w:szCs w:val="21"/>
        </w:rPr>
        <w:t>-202</w:t>
      </w:r>
      <w:r>
        <w:rPr>
          <w:rFonts w:hint="eastAsia"/>
          <w:sz w:val="21"/>
          <w:szCs w:val="21"/>
        </w:rPr>
        <w:t>2</w:t>
      </w:r>
      <w:r>
        <w:rPr>
          <w:rFonts w:hint="eastAsia" w:ascii="宋体" w:hAnsi="宋体"/>
          <w:sz w:val="21"/>
          <w:szCs w:val="21"/>
        </w:rPr>
        <w:t>）对相关方的需求和期望相关信息进行评审、监视和响应。质量管理部负责汇总。并对这些相关方及其要求进行监视和评审，应每半年进行一次，各部门均应保留监视和评审的成文信息，评审的结果应提交总经理办公会或管理评审，分析的结果应用于提高产品和服务的符合性、增强顾客满意、提高质量管理体系的绩效和有效性以及应用于体系、过程、产品和服务的改进。</w:t>
      </w:r>
    </w:p>
    <w:p w14:paraId="70E84F90">
      <w:pPr>
        <w:pStyle w:val="3"/>
        <w:spacing w:before="120" w:beforeLines="50" w:after="120" w:afterLines="50" w:line="400" w:lineRule="exact"/>
        <w:rPr>
          <w:rFonts w:ascii="宋体" w:hAnsi="宋体" w:eastAsia="宋体"/>
          <w:sz w:val="21"/>
          <w:szCs w:val="21"/>
        </w:rPr>
      </w:pPr>
      <w:bookmarkStart w:id="31" w:name="_Toc521509443"/>
      <w:bookmarkStart w:id="32" w:name="_Toc509844800"/>
      <w:bookmarkStart w:id="33" w:name="_Toc509845132"/>
      <w:bookmarkStart w:id="34" w:name="_Toc509844110"/>
      <w:r>
        <w:rPr>
          <w:rFonts w:hint="eastAsia" w:ascii="宋体" w:hAnsi="宋体" w:eastAsia="宋体"/>
          <w:sz w:val="24"/>
          <w:szCs w:val="24"/>
        </w:rPr>
        <w:t>4.3确定质量管理体系的范围</w:t>
      </w:r>
      <w:bookmarkEnd w:id="31"/>
      <w:bookmarkEnd w:id="32"/>
      <w:bookmarkEnd w:id="33"/>
      <w:bookmarkEnd w:id="34"/>
    </w:p>
    <w:p w14:paraId="261F74D9">
      <w:pPr>
        <w:spacing w:line="400" w:lineRule="exact"/>
        <w:ind w:firstLine="420" w:firstLineChars="200"/>
        <w:rPr>
          <w:rFonts w:ascii="宋体" w:hAnsi="宋体"/>
          <w:sz w:val="21"/>
          <w:szCs w:val="21"/>
        </w:rPr>
      </w:pPr>
      <w:r>
        <w:rPr>
          <w:rFonts w:hint="eastAsia" w:ascii="宋体" w:hAnsi="宋体"/>
          <w:sz w:val="21"/>
          <w:szCs w:val="21"/>
        </w:rPr>
        <w:t>公司充分考虑了公司所面临的各种外部和内部因素、与质量管理体系有关的相关方及其要求以及公司的产品和服务，公司质量管理体系产品范围为：</w:t>
      </w:r>
    </w:p>
    <w:p w14:paraId="1AA066F8">
      <w:pPr>
        <w:spacing w:line="400" w:lineRule="exact"/>
        <w:ind w:firstLine="420" w:firstLineChars="200"/>
        <w:rPr>
          <w:rFonts w:ascii="宋体" w:hAnsi="宋体"/>
          <w:color w:val="FF0000"/>
          <w:sz w:val="21"/>
          <w:szCs w:val="21"/>
        </w:rPr>
      </w:pPr>
      <w:r>
        <w:rPr>
          <w:rFonts w:hint="eastAsia" w:ascii="宋体" w:hAnsi="宋体"/>
          <w:sz w:val="21"/>
          <w:szCs w:val="21"/>
        </w:rPr>
        <w:t>QMS范围为：智能安全风险预警系统设计、开发、交付和售后服务；智能安全试剂存储柜（防爆、多组合、集成型）的设计、开发、生产和售后服务；</w:t>
      </w:r>
    </w:p>
    <w:p w14:paraId="27A453DA">
      <w:pPr>
        <w:spacing w:line="400" w:lineRule="exact"/>
        <w:ind w:firstLine="420" w:firstLineChars="200"/>
        <w:rPr>
          <w:rFonts w:ascii="宋体" w:hAnsi="宋体"/>
          <w:sz w:val="21"/>
          <w:szCs w:val="21"/>
        </w:rPr>
      </w:pPr>
      <w:r>
        <w:rPr>
          <w:rFonts w:hint="eastAsia" w:ascii="宋体" w:hAnsi="宋体"/>
          <w:sz w:val="21"/>
          <w:szCs w:val="21"/>
        </w:rPr>
        <w:t>公司运行场所：江苏省苏州市工业园区若水路398号</w:t>
      </w:r>
      <w:r>
        <w:rPr>
          <w:rFonts w:hint="eastAsia" w:ascii="宋体" w:hAnsi="宋体" w:cs="Times New Roman"/>
          <w:sz w:val="21"/>
          <w:szCs w:val="21"/>
        </w:rPr>
        <w:t>C413、C414、C415、C416、C418、C420</w:t>
      </w:r>
      <w:r>
        <w:rPr>
          <w:rFonts w:hint="eastAsia" w:ascii="宋体" w:hAnsi="宋体" w:cs="宋体"/>
          <w:szCs w:val="21"/>
        </w:rPr>
        <w:t xml:space="preserve"> </w:t>
      </w:r>
      <w:r>
        <w:rPr>
          <w:rFonts w:hint="eastAsia" w:ascii="宋体" w:hAnsi="宋体"/>
          <w:sz w:val="21"/>
          <w:szCs w:val="21"/>
        </w:rPr>
        <w:t>，无分场所。</w:t>
      </w:r>
    </w:p>
    <w:p w14:paraId="439910AC">
      <w:pPr>
        <w:widowControl/>
        <w:spacing w:line="400" w:lineRule="exact"/>
        <w:ind w:firstLine="420" w:firstLineChars="200"/>
        <w:rPr>
          <w:rFonts w:ascii="宋体" w:hAnsi="宋体"/>
          <w:color w:val="FF0000"/>
          <w:sz w:val="21"/>
          <w:szCs w:val="21"/>
        </w:rPr>
      </w:pPr>
      <w:r>
        <w:rPr>
          <w:rFonts w:hint="eastAsia" w:ascii="宋体" w:hAnsi="宋体"/>
          <w:sz w:val="21"/>
          <w:szCs w:val="21"/>
        </w:rPr>
        <w:t>质量管理体系覆盖公司的所有部门见</w:t>
      </w:r>
      <w:r>
        <w:rPr>
          <w:rFonts w:hint="eastAsia" w:ascii="宋体" w:hAnsi="宋体"/>
          <w:sz w:val="21"/>
          <w:szCs w:val="21"/>
          <w:lang w:eastAsia="zh-CN"/>
        </w:rPr>
        <w:t>{companyName}</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（图附录B）。</w:t>
      </w:r>
    </w:p>
    <w:p w14:paraId="0B32A342">
      <w:pPr>
        <w:widowControl/>
        <w:spacing w:line="400" w:lineRule="exact"/>
        <w:ind w:firstLine="420" w:firstLineChars="200"/>
        <w:rPr>
          <w:rFonts w:ascii="宋体" w:hAnsi="宋体"/>
          <w:sz w:val="21"/>
          <w:szCs w:val="21"/>
        </w:rPr>
      </w:pPr>
      <w:r>
        <w:rPr>
          <w:rFonts w:hint="eastAsia" w:ascii="宋体" w:hAnsi="宋体"/>
          <w:sz w:val="21"/>
          <w:szCs w:val="21"/>
        </w:rPr>
        <w:t>本手册完全贯彻GB/T19001-2016标准要求。</w:t>
      </w:r>
    </w:p>
    <w:p w14:paraId="60973D13">
      <w:pPr>
        <w:widowControl/>
        <w:spacing w:line="400" w:lineRule="exact"/>
        <w:ind w:firstLine="422" w:firstLineChars="200"/>
        <w:rPr>
          <w:rFonts w:ascii="宋体" w:hAnsi="宋体"/>
          <w:sz w:val="21"/>
          <w:szCs w:val="21"/>
        </w:rPr>
      </w:pPr>
      <w:bookmarkStart w:id="35" w:name="_Toc478675921"/>
      <w:bookmarkStart w:id="36" w:name="_Toc478676872"/>
      <w:bookmarkStart w:id="37" w:name="_Toc478675283"/>
      <w:bookmarkStart w:id="38" w:name="_Toc478673665"/>
      <w:bookmarkStart w:id="39" w:name="_Toc478673345"/>
      <w:bookmarkStart w:id="40" w:name="_Toc478674006"/>
      <w:bookmarkStart w:id="41" w:name="_Toc478674325"/>
      <w:bookmarkStart w:id="42" w:name="_Toc478676240"/>
      <w:r>
        <w:rPr>
          <w:rFonts w:hint="eastAsia" w:ascii="楷体" w:hAnsi="楷体" w:eastAsia="楷体" w:cs="楷体_GB2312"/>
          <w:b/>
          <w:color w:val="000000"/>
          <w:sz w:val="21"/>
          <w:szCs w:val="21"/>
        </w:rPr>
        <w:t>不适用于其质量管理体系范围，由质量管理部书面说明理由并征得顾客同意。</w:t>
      </w:r>
      <w:bookmarkEnd w:id="35"/>
      <w:bookmarkEnd w:id="36"/>
      <w:bookmarkEnd w:id="37"/>
      <w:bookmarkEnd w:id="38"/>
      <w:bookmarkEnd w:id="39"/>
      <w:bookmarkEnd w:id="40"/>
      <w:bookmarkEnd w:id="41"/>
      <w:bookmarkEnd w:id="42"/>
    </w:p>
    <w:p w14:paraId="1FE48BFB">
      <w:pPr>
        <w:pStyle w:val="3"/>
        <w:spacing w:before="120" w:beforeLines="50" w:after="120" w:afterLines="50" w:line="400" w:lineRule="exact"/>
        <w:rPr>
          <w:rFonts w:ascii="宋体" w:hAnsi="宋体" w:eastAsia="宋体"/>
          <w:sz w:val="24"/>
          <w:szCs w:val="24"/>
        </w:rPr>
      </w:pPr>
      <w:bookmarkStart w:id="43" w:name="_Toc509845133"/>
      <w:bookmarkStart w:id="44" w:name="_Toc509844111"/>
      <w:bookmarkStart w:id="45" w:name="_Toc521509444"/>
      <w:bookmarkStart w:id="46" w:name="_Toc509844801"/>
      <w:r>
        <w:rPr>
          <w:rFonts w:hint="eastAsia" w:ascii="宋体" w:hAnsi="宋体" w:eastAsia="宋体"/>
          <w:sz w:val="24"/>
          <w:szCs w:val="24"/>
        </w:rPr>
        <w:t>4.4 质量管理体系及其过程</w:t>
      </w:r>
      <w:bookmarkEnd w:id="43"/>
      <w:bookmarkEnd w:id="44"/>
      <w:bookmarkEnd w:id="45"/>
      <w:bookmarkEnd w:id="46"/>
    </w:p>
    <w:p w14:paraId="00BA98CB">
      <w:pPr>
        <w:spacing w:line="400" w:lineRule="exact"/>
        <w:rPr>
          <w:rFonts w:ascii="宋体" w:hAnsi="宋体"/>
          <w:sz w:val="21"/>
          <w:szCs w:val="21"/>
        </w:rPr>
      </w:pPr>
      <w:r>
        <w:rPr>
          <w:rFonts w:hint="eastAsia" w:ascii="宋体" w:hAnsi="宋体"/>
          <w:sz w:val="21"/>
          <w:szCs w:val="21"/>
        </w:rPr>
        <w:t>4.4.1 公司按照GB/T19001-2016《质量管理体系要求》的要求，结合公司产品和服务的特点，建立、实施、保持和持续改进质量管理体系，包括了体系所需的过程及其相互作用。</w:t>
      </w:r>
    </w:p>
    <w:p w14:paraId="6F13BC98">
      <w:pPr>
        <w:spacing w:line="400" w:lineRule="exact"/>
        <w:rPr>
          <w:rFonts w:ascii="宋体" w:hAnsi="宋体"/>
          <w:sz w:val="21"/>
          <w:szCs w:val="21"/>
        </w:rPr>
      </w:pPr>
      <w:r>
        <w:rPr>
          <w:rFonts w:hint="eastAsia" w:ascii="宋体" w:hAnsi="宋体"/>
          <w:sz w:val="21"/>
          <w:szCs w:val="21"/>
        </w:rPr>
        <w:t>公司的质量管理体系过程包括：顾客导向过程COP（运行过程）、支持过程（SP）、管理过程（MP）。</w:t>
      </w:r>
    </w:p>
    <w:p w14:paraId="6DE2E19B">
      <w:pPr>
        <w:spacing w:line="400" w:lineRule="exact"/>
        <w:ind w:firstLine="420" w:firstLineChars="200"/>
        <w:rPr>
          <w:rFonts w:ascii="宋体" w:hAnsi="宋体"/>
          <w:sz w:val="21"/>
          <w:szCs w:val="21"/>
        </w:rPr>
      </w:pPr>
      <w:r>
        <w:rPr>
          <w:rFonts w:hint="eastAsia" w:ascii="宋体" w:hAnsi="宋体"/>
          <w:sz w:val="21"/>
          <w:szCs w:val="21"/>
        </w:rPr>
        <w:t>1)顾客导向过程（运行过程）：通过输入和输出直接和外部顾客联系的过程，直接对顾客产生影响，是给公司直接带来效益的过程。</w:t>
      </w:r>
    </w:p>
    <w:p w14:paraId="47035C2C">
      <w:pPr>
        <w:spacing w:line="400" w:lineRule="exact"/>
        <w:ind w:firstLine="420" w:firstLineChars="200"/>
        <w:rPr>
          <w:rFonts w:ascii="宋体" w:hAnsi="宋体"/>
          <w:sz w:val="21"/>
          <w:szCs w:val="21"/>
        </w:rPr>
      </w:pPr>
      <w:r>
        <w:rPr>
          <w:rFonts w:hint="eastAsia" w:ascii="宋体" w:hAnsi="宋体"/>
          <w:sz w:val="21"/>
          <w:szCs w:val="21"/>
        </w:rPr>
        <w:t>2)支持过程：提供主要资源或能力，为了实现公司的经营目标，支持顾客导向过程实现预计目标的过程，支持过程是实现顾客导向过程功能的必要过程。</w:t>
      </w:r>
    </w:p>
    <w:p w14:paraId="4DEB6094">
      <w:pPr>
        <w:spacing w:line="400" w:lineRule="exact"/>
        <w:ind w:firstLine="420" w:firstLineChars="200"/>
        <w:rPr>
          <w:rFonts w:ascii="宋体" w:hAnsi="宋体"/>
          <w:sz w:val="21"/>
          <w:szCs w:val="21"/>
        </w:rPr>
      </w:pPr>
      <w:r>
        <w:rPr>
          <w:rFonts w:hint="eastAsia" w:ascii="宋体" w:hAnsi="宋体"/>
          <w:sz w:val="21"/>
          <w:szCs w:val="21"/>
        </w:rPr>
        <w:t>3)管理过程：用来衡量和评价顾客导向过程和支持过程的有效性和效率，组织策划将顾客要求转化为组织衡量的目标和指标，确定公司组织结构，产生公司决策和目标及更改等过程。</w:t>
      </w:r>
    </w:p>
    <w:p w14:paraId="274BA423">
      <w:pPr>
        <w:widowControl/>
        <w:spacing w:line="400" w:lineRule="exact"/>
        <w:ind w:firstLine="420" w:firstLineChars="200"/>
        <w:rPr>
          <w:rFonts w:ascii="宋体" w:hAnsi="宋体"/>
          <w:sz w:val="21"/>
          <w:szCs w:val="21"/>
        </w:rPr>
      </w:pPr>
      <w:r>
        <w:rPr>
          <w:rFonts w:hint="eastAsia" w:ascii="宋体" w:hAnsi="宋体"/>
          <w:sz w:val="21"/>
          <w:szCs w:val="21"/>
        </w:rPr>
        <w:t xml:space="preserve">公司确定了质量管理体系所需的过程及其在全公司的应用，而且能够： </w:t>
      </w:r>
    </w:p>
    <w:p w14:paraId="3B3F09CF">
      <w:pPr>
        <w:widowControl/>
        <w:spacing w:line="400" w:lineRule="exact"/>
        <w:ind w:firstLine="420" w:firstLineChars="200"/>
        <w:rPr>
          <w:rFonts w:ascii="宋体" w:hAnsi="宋体"/>
          <w:sz w:val="21"/>
          <w:szCs w:val="21"/>
        </w:rPr>
      </w:pPr>
      <w:r>
        <w:rPr>
          <w:rFonts w:hint="eastAsia" w:ascii="宋体" w:hAnsi="宋体"/>
          <w:sz w:val="21"/>
          <w:szCs w:val="21"/>
        </w:rPr>
        <w:t xml:space="preserve">a)确定各过程所需的输入和期望的输出，本公司质量管理体系的过程见附录F：《过程识别一览表》；产品和服务实现过程见附录D； </w:t>
      </w:r>
    </w:p>
    <w:p w14:paraId="3364D8B5">
      <w:pPr>
        <w:widowControl/>
        <w:spacing w:line="400" w:lineRule="exact"/>
        <w:ind w:firstLine="420" w:firstLineChars="200"/>
        <w:rPr>
          <w:rFonts w:ascii="宋体" w:hAnsi="宋体"/>
          <w:sz w:val="21"/>
          <w:szCs w:val="21"/>
        </w:rPr>
      </w:pPr>
      <w:r>
        <w:rPr>
          <w:rFonts w:hint="eastAsia" w:ascii="宋体" w:hAnsi="宋体"/>
          <w:sz w:val="21"/>
          <w:szCs w:val="21"/>
        </w:rPr>
        <w:t xml:space="preserve">b)确定各过程的顺序和相互作用； </w:t>
      </w:r>
    </w:p>
    <w:p w14:paraId="2D45887C">
      <w:pPr>
        <w:widowControl/>
        <w:spacing w:line="400" w:lineRule="exact"/>
        <w:ind w:firstLine="420" w:firstLineChars="200"/>
        <w:rPr>
          <w:rFonts w:ascii="宋体" w:hAnsi="宋体"/>
          <w:sz w:val="21"/>
          <w:szCs w:val="21"/>
        </w:rPr>
      </w:pPr>
      <w:r>
        <w:rPr>
          <w:rFonts w:hint="eastAsia" w:ascii="宋体" w:hAnsi="宋体"/>
          <w:sz w:val="21"/>
          <w:szCs w:val="21"/>
        </w:rPr>
        <w:t xml:space="preserve">c)确定和应用所需的准则和方法（包括监视、测量和相关绩效指标），确保这些过程的有效运行和控制，详见本手册8.1的描述以及《产品和服务实现策划、设计和开发控制程序》； </w:t>
      </w:r>
    </w:p>
    <w:p w14:paraId="73E16E59">
      <w:pPr>
        <w:widowControl/>
        <w:spacing w:line="400" w:lineRule="exact"/>
        <w:ind w:firstLine="420" w:firstLineChars="200"/>
        <w:rPr>
          <w:rFonts w:ascii="宋体" w:hAnsi="宋体"/>
          <w:sz w:val="21"/>
          <w:szCs w:val="21"/>
        </w:rPr>
      </w:pPr>
      <w:r>
        <w:rPr>
          <w:rFonts w:hint="eastAsia" w:ascii="宋体" w:hAnsi="宋体"/>
          <w:sz w:val="21"/>
          <w:szCs w:val="21"/>
        </w:rPr>
        <w:t xml:space="preserve">d)确定这些过程所需的资源并确保其可获得，详见本手册7.1.3、8.1的描述； </w:t>
      </w:r>
    </w:p>
    <w:p w14:paraId="5AAE2DBD">
      <w:pPr>
        <w:widowControl/>
        <w:spacing w:line="400" w:lineRule="exact"/>
        <w:ind w:firstLine="420" w:firstLineChars="200"/>
        <w:rPr>
          <w:rFonts w:ascii="宋体" w:hAnsi="宋体"/>
          <w:sz w:val="21"/>
          <w:szCs w:val="21"/>
        </w:rPr>
      </w:pPr>
      <w:r>
        <w:rPr>
          <w:rFonts w:hint="eastAsia" w:ascii="宋体" w:hAnsi="宋体"/>
          <w:sz w:val="21"/>
          <w:szCs w:val="21"/>
        </w:rPr>
        <w:t>e)对上述过程的职责和权限进行了分配，详见本手册5.3的描述以及公司《岗位说明书》要求等；</w:t>
      </w:r>
    </w:p>
    <w:p w14:paraId="55EC70F8">
      <w:pPr>
        <w:widowControl/>
        <w:spacing w:line="400" w:lineRule="exact"/>
        <w:ind w:firstLine="420" w:firstLineChars="200"/>
        <w:rPr>
          <w:rFonts w:ascii="宋体" w:hAnsi="宋体"/>
          <w:sz w:val="21"/>
          <w:szCs w:val="21"/>
        </w:rPr>
      </w:pPr>
      <w:r>
        <w:rPr>
          <w:rFonts w:hint="eastAsia" w:ascii="宋体" w:hAnsi="宋体"/>
          <w:sz w:val="21"/>
          <w:szCs w:val="21"/>
        </w:rPr>
        <w:t xml:space="preserve">f)按照6.1的要求应对所考虑的风险和机遇，详见本手册6.1的描述； </w:t>
      </w:r>
    </w:p>
    <w:p w14:paraId="7DF379AC">
      <w:pPr>
        <w:widowControl/>
        <w:spacing w:line="400" w:lineRule="exact"/>
        <w:ind w:firstLine="420" w:firstLineChars="200"/>
        <w:rPr>
          <w:rFonts w:ascii="宋体" w:hAnsi="宋体"/>
          <w:sz w:val="21"/>
          <w:szCs w:val="21"/>
        </w:rPr>
      </w:pPr>
      <w:r>
        <w:rPr>
          <w:rFonts w:hint="eastAsia" w:ascii="宋体" w:hAnsi="宋体"/>
          <w:sz w:val="21"/>
          <w:szCs w:val="21"/>
        </w:rPr>
        <w:t xml:space="preserve">g)定期评价这些过程，实施策划所需的变更，确保实现这些过程的预期结果，详见本手册6.2、9.1、9.2、9.3的描述； </w:t>
      </w:r>
    </w:p>
    <w:p w14:paraId="72B68CC2">
      <w:pPr>
        <w:widowControl/>
        <w:spacing w:line="400" w:lineRule="exact"/>
        <w:ind w:firstLine="420" w:firstLineChars="200"/>
        <w:rPr>
          <w:rFonts w:ascii="宋体" w:hAnsi="宋体"/>
          <w:sz w:val="21"/>
          <w:szCs w:val="21"/>
        </w:rPr>
      </w:pPr>
      <w:r>
        <w:rPr>
          <w:rFonts w:hint="eastAsia" w:ascii="宋体" w:hAnsi="宋体"/>
          <w:sz w:val="21"/>
          <w:szCs w:val="21"/>
        </w:rPr>
        <w:t xml:space="preserve">h)改进过程和质量管理体系，详见本手册9.1、9.2、9.3、10的描述； </w:t>
      </w:r>
    </w:p>
    <w:p w14:paraId="33793068">
      <w:pPr>
        <w:widowControl/>
        <w:spacing w:line="400" w:lineRule="exact"/>
        <w:ind w:firstLine="420" w:firstLineChars="200"/>
        <w:rPr>
          <w:rFonts w:ascii="宋体" w:hAnsi="宋体"/>
          <w:sz w:val="21"/>
          <w:szCs w:val="21"/>
        </w:rPr>
      </w:pPr>
      <w:r>
        <w:rPr>
          <w:rFonts w:hint="eastAsia" w:ascii="宋体" w:hAnsi="宋体"/>
          <w:sz w:val="21"/>
          <w:szCs w:val="21"/>
        </w:rPr>
        <w:t xml:space="preserve">i）对顾客提出的质量管理体系及其过程的特殊要求作出安排；详见本手册8.2.1、9.1.2的描述； </w:t>
      </w:r>
    </w:p>
    <w:p w14:paraId="77BC1090">
      <w:pPr>
        <w:widowControl/>
        <w:spacing w:line="400" w:lineRule="exact"/>
        <w:ind w:firstLine="420" w:firstLineChars="200"/>
        <w:rPr>
          <w:rFonts w:ascii="宋体" w:hAnsi="宋体"/>
          <w:sz w:val="21"/>
          <w:szCs w:val="21"/>
        </w:rPr>
      </w:pPr>
      <w:r>
        <w:rPr>
          <w:rFonts w:hint="eastAsia" w:ascii="宋体" w:hAnsi="宋体"/>
          <w:sz w:val="21"/>
          <w:szCs w:val="21"/>
        </w:rPr>
        <w:t xml:space="preserve">j）根据产品的特点，建立并实施可靠性、维修性、保障性、测试性、安全性和环境适应性等通用质量特性工作过程（结合系统设计，依据标准GB/T 16260软件工程-产品质量和GJB 5236军用软件质量度量，综合权衡、分解通用质量特性“功能性、可靠性、易用性、可维护性、效率、可移植性”定性定量要求，开展通用质量特性分析、设计、验证，提出并落实预防和改进措施）； </w:t>
      </w:r>
    </w:p>
    <w:p w14:paraId="5DA35E71">
      <w:pPr>
        <w:widowControl/>
        <w:spacing w:line="400" w:lineRule="exact"/>
        <w:ind w:firstLine="400" w:firstLineChars="200"/>
        <w:rPr>
          <w:rFonts w:ascii="宋体" w:hAnsi="宋体"/>
          <w:color w:val="3366FF"/>
          <w:sz w:val="20"/>
        </w:rPr>
      </w:pPr>
    </w:p>
    <w:p w14:paraId="26DC4B84">
      <w:pPr>
        <w:spacing w:line="400" w:lineRule="exact"/>
        <w:rPr>
          <w:rFonts w:ascii="宋体" w:hAnsi="宋体"/>
          <w:sz w:val="21"/>
          <w:szCs w:val="21"/>
        </w:rPr>
      </w:pPr>
      <w:r>
        <w:rPr>
          <w:rFonts w:hint="eastAsia" w:ascii="宋体" w:hAnsi="宋体"/>
          <w:sz w:val="21"/>
          <w:szCs w:val="21"/>
        </w:rPr>
        <w:t>4.4.2 公司在认为必要的范围和程度上，编制了质量管理体系及其过程所需的文件（附录E：《程序文件目录》），以支持过程的运行；形成了各种记录，以证实并确信公司的质量管理体系及其过程是按照策划进行的。</w:t>
      </w:r>
    </w:p>
    <w:p w14:paraId="65C02CE6">
      <w:pPr>
        <w:widowControl/>
        <w:spacing w:line="400" w:lineRule="exact"/>
        <w:jc w:val="center"/>
        <w:rPr>
          <w:rFonts w:ascii="宋体" w:hAnsi="宋体"/>
          <w:sz w:val="21"/>
          <w:szCs w:val="21"/>
        </w:rPr>
      </w:pPr>
    </w:p>
    <w:p w14:paraId="1612BB6D">
      <w:pPr>
        <w:widowControl/>
        <w:spacing w:line="400" w:lineRule="exact"/>
        <w:jc w:val="center"/>
        <w:rPr>
          <w:rFonts w:ascii="宋体" w:hAnsi="宋体"/>
          <w:sz w:val="21"/>
          <w:szCs w:val="21"/>
        </w:rPr>
      </w:pPr>
    </w:p>
    <w:p w14:paraId="0E2CB937">
      <w:pPr>
        <w:widowControl/>
        <w:spacing w:line="400" w:lineRule="exact"/>
        <w:jc w:val="center"/>
        <w:rPr>
          <w:rFonts w:ascii="宋体" w:hAnsi="宋体"/>
          <w:sz w:val="21"/>
          <w:szCs w:val="21"/>
        </w:rPr>
      </w:pPr>
    </w:p>
    <w:p w14:paraId="2171CF35">
      <w:pPr>
        <w:widowControl/>
        <w:spacing w:line="400" w:lineRule="exact"/>
        <w:jc w:val="center"/>
        <w:rPr>
          <w:rFonts w:ascii="宋体" w:hAnsi="宋体"/>
          <w:sz w:val="21"/>
          <w:szCs w:val="21"/>
        </w:rPr>
      </w:pPr>
    </w:p>
    <w:p w14:paraId="1A4EF621">
      <w:pPr>
        <w:widowControl/>
        <w:spacing w:line="400" w:lineRule="exact"/>
        <w:jc w:val="center"/>
        <w:rPr>
          <w:rFonts w:ascii="宋体" w:hAnsi="宋体"/>
          <w:sz w:val="21"/>
          <w:szCs w:val="21"/>
        </w:rPr>
      </w:pPr>
    </w:p>
    <w:p w14:paraId="2ACA2357">
      <w:pPr>
        <w:widowControl/>
        <w:spacing w:line="400" w:lineRule="exact"/>
        <w:jc w:val="center"/>
        <w:rPr>
          <w:rFonts w:ascii="宋体" w:hAnsi="宋体"/>
          <w:sz w:val="21"/>
          <w:szCs w:val="21"/>
        </w:rPr>
      </w:pPr>
    </w:p>
    <w:p w14:paraId="31DFB2C6">
      <w:pPr>
        <w:widowControl/>
        <w:spacing w:line="400" w:lineRule="exact"/>
        <w:jc w:val="center"/>
        <w:rPr>
          <w:rFonts w:ascii="宋体" w:hAnsi="宋体"/>
          <w:sz w:val="21"/>
          <w:szCs w:val="21"/>
        </w:rPr>
      </w:pPr>
    </w:p>
    <w:p w14:paraId="25BC9DEE">
      <w:pPr>
        <w:widowControl/>
        <w:spacing w:line="400" w:lineRule="exact"/>
        <w:jc w:val="center"/>
        <w:rPr>
          <w:rFonts w:ascii="宋体" w:hAnsi="宋体"/>
          <w:sz w:val="21"/>
          <w:szCs w:val="21"/>
        </w:rPr>
      </w:pPr>
      <w:r>
        <w:rPr>
          <w:rFonts w:hint="eastAsia" w:ascii="宋体" w:hAnsi="宋体"/>
          <w:sz w:val="21"/>
          <w:szCs w:val="21"/>
        </w:rPr>
        <w:t>公司主要过程识别表</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567"/>
        <w:gridCol w:w="2693"/>
        <w:gridCol w:w="709"/>
        <w:gridCol w:w="2268"/>
      </w:tblGrid>
      <w:tr w14:paraId="6039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vAlign w:val="center"/>
          </w:tcPr>
          <w:p w14:paraId="44569D8E">
            <w:pPr>
              <w:jc w:val="center"/>
              <w:rPr>
                <w:rFonts w:ascii="宋体" w:hAnsi="宋体"/>
                <w:sz w:val="21"/>
                <w:szCs w:val="21"/>
              </w:rPr>
            </w:pPr>
            <w:r>
              <w:rPr>
                <w:rFonts w:hint="eastAsia" w:ascii="宋体" w:hAnsi="宋体"/>
                <w:sz w:val="21"/>
                <w:szCs w:val="21"/>
              </w:rPr>
              <w:t>顾客导向的过程（运行过程）</w:t>
            </w:r>
          </w:p>
        </w:tc>
        <w:tc>
          <w:tcPr>
            <w:tcW w:w="3260" w:type="dxa"/>
            <w:gridSpan w:val="2"/>
            <w:vAlign w:val="center"/>
          </w:tcPr>
          <w:p w14:paraId="7048B716">
            <w:pPr>
              <w:jc w:val="center"/>
              <w:rPr>
                <w:rFonts w:ascii="宋体" w:hAnsi="宋体"/>
                <w:sz w:val="21"/>
                <w:szCs w:val="21"/>
              </w:rPr>
            </w:pPr>
            <w:r>
              <w:rPr>
                <w:rFonts w:hint="eastAsia" w:ascii="宋体" w:hAnsi="宋体"/>
                <w:sz w:val="21"/>
                <w:szCs w:val="21"/>
              </w:rPr>
              <w:t>支持过程</w:t>
            </w:r>
          </w:p>
        </w:tc>
        <w:tc>
          <w:tcPr>
            <w:tcW w:w="2977" w:type="dxa"/>
            <w:gridSpan w:val="2"/>
            <w:vAlign w:val="center"/>
          </w:tcPr>
          <w:p w14:paraId="1E7A4866">
            <w:pPr>
              <w:jc w:val="center"/>
              <w:rPr>
                <w:rFonts w:ascii="宋体" w:hAnsi="宋体"/>
                <w:sz w:val="21"/>
                <w:szCs w:val="21"/>
              </w:rPr>
            </w:pPr>
            <w:r>
              <w:rPr>
                <w:rFonts w:hint="eastAsia" w:ascii="宋体" w:hAnsi="宋体"/>
                <w:sz w:val="21"/>
                <w:szCs w:val="21"/>
              </w:rPr>
              <w:t>管理过程</w:t>
            </w:r>
          </w:p>
        </w:tc>
      </w:tr>
      <w:tr w14:paraId="444C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C4B50B0">
            <w:pPr>
              <w:jc w:val="center"/>
              <w:rPr>
                <w:rFonts w:ascii="宋体" w:hAnsi="宋体"/>
                <w:sz w:val="21"/>
                <w:szCs w:val="21"/>
              </w:rPr>
            </w:pPr>
            <w:r>
              <w:rPr>
                <w:rFonts w:hint="eastAsia" w:ascii="宋体" w:hAnsi="宋体"/>
                <w:sz w:val="21"/>
                <w:szCs w:val="21"/>
              </w:rPr>
              <w:t>C1</w:t>
            </w:r>
          </w:p>
        </w:tc>
        <w:tc>
          <w:tcPr>
            <w:tcW w:w="2127" w:type="dxa"/>
            <w:vAlign w:val="center"/>
          </w:tcPr>
          <w:p w14:paraId="02328023">
            <w:pPr>
              <w:jc w:val="center"/>
              <w:rPr>
                <w:rFonts w:ascii="宋体" w:hAnsi="宋体"/>
                <w:sz w:val="21"/>
                <w:szCs w:val="21"/>
              </w:rPr>
            </w:pPr>
            <w:r>
              <w:rPr>
                <w:rFonts w:hint="eastAsia" w:ascii="宋体" w:hAnsi="宋体"/>
                <w:sz w:val="21"/>
                <w:szCs w:val="21"/>
              </w:rPr>
              <w:t>产品和服务要求的确定</w:t>
            </w:r>
          </w:p>
        </w:tc>
        <w:tc>
          <w:tcPr>
            <w:tcW w:w="567" w:type="dxa"/>
            <w:vAlign w:val="center"/>
          </w:tcPr>
          <w:p w14:paraId="6548EB59">
            <w:pPr>
              <w:jc w:val="center"/>
              <w:rPr>
                <w:rFonts w:ascii="宋体" w:hAnsi="宋体"/>
                <w:sz w:val="21"/>
                <w:szCs w:val="21"/>
              </w:rPr>
            </w:pPr>
            <w:r>
              <w:rPr>
                <w:rFonts w:hint="eastAsia" w:ascii="宋体" w:hAnsi="宋体"/>
                <w:sz w:val="21"/>
                <w:szCs w:val="21"/>
              </w:rPr>
              <w:t>S1</w:t>
            </w:r>
          </w:p>
        </w:tc>
        <w:tc>
          <w:tcPr>
            <w:tcW w:w="2693" w:type="dxa"/>
            <w:vAlign w:val="center"/>
          </w:tcPr>
          <w:p w14:paraId="1EE017DE">
            <w:pPr>
              <w:jc w:val="center"/>
              <w:rPr>
                <w:rFonts w:ascii="宋体" w:hAnsi="宋体"/>
                <w:sz w:val="21"/>
                <w:szCs w:val="21"/>
              </w:rPr>
            </w:pPr>
            <w:r>
              <w:rPr>
                <w:rFonts w:hint="eastAsia" w:ascii="宋体" w:hAnsi="宋体"/>
                <w:sz w:val="21"/>
                <w:szCs w:val="21"/>
              </w:rPr>
              <w:t>资源管理过程</w:t>
            </w:r>
          </w:p>
          <w:p w14:paraId="58BE7E43">
            <w:pPr>
              <w:jc w:val="center"/>
              <w:rPr>
                <w:rFonts w:ascii="宋体" w:hAnsi="宋体"/>
                <w:sz w:val="21"/>
                <w:szCs w:val="21"/>
              </w:rPr>
            </w:pPr>
            <w:r>
              <w:rPr>
                <w:rFonts w:hint="eastAsia" w:ascii="宋体" w:hAnsi="宋体"/>
                <w:sz w:val="21"/>
                <w:szCs w:val="21"/>
              </w:rPr>
              <w:t>（人员、基础设施、测量资源、知识）</w:t>
            </w:r>
          </w:p>
        </w:tc>
        <w:tc>
          <w:tcPr>
            <w:tcW w:w="709" w:type="dxa"/>
            <w:vAlign w:val="center"/>
          </w:tcPr>
          <w:p w14:paraId="14A24E63">
            <w:pPr>
              <w:jc w:val="center"/>
              <w:rPr>
                <w:rFonts w:ascii="宋体" w:hAnsi="宋体"/>
                <w:sz w:val="21"/>
                <w:szCs w:val="21"/>
              </w:rPr>
            </w:pPr>
            <w:r>
              <w:rPr>
                <w:rFonts w:hint="eastAsia" w:ascii="宋体" w:hAnsi="宋体"/>
                <w:sz w:val="21"/>
                <w:szCs w:val="21"/>
              </w:rPr>
              <w:t>M1</w:t>
            </w:r>
          </w:p>
        </w:tc>
        <w:tc>
          <w:tcPr>
            <w:tcW w:w="2268" w:type="dxa"/>
            <w:vAlign w:val="center"/>
          </w:tcPr>
          <w:p w14:paraId="3FECD4A1">
            <w:pPr>
              <w:jc w:val="center"/>
              <w:rPr>
                <w:rFonts w:ascii="宋体" w:hAnsi="宋体"/>
                <w:sz w:val="21"/>
                <w:szCs w:val="21"/>
              </w:rPr>
            </w:pPr>
            <w:r>
              <w:rPr>
                <w:rFonts w:hint="eastAsia" w:ascii="宋体" w:hAnsi="宋体"/>
                <w:sz w:val="21"/>
                <w:szCs w:val="21"/>
              </w:rPr>
              <w:t>风险和机遇的应对措施及运行策划</w:t>
            </w:r>
          </w:p>
        </w:tc>
      </w:tr>
      <w:tr w14:paraId="3F85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0218D8">
            <w:pPr>
              <w:jc w:val="center"/>
              <w:rPr>
                <w:rFonts w:ascii="宋体" w:hAnsi="宋体"/>
                <w:sz w:val="21"/>
                <w:szCs w:val="21"/>
              </w:rPr>
            </w:pPr>
            <w:r>
              <w:rPr>
                <w:rFonts w:hint="eastAsia" w:ascii="宋体" w:hAnsi="宋体"/>
                <w:sz w:val="21"/>
                <w:szCs w:val="21"/>
              </w:rPr>
              <w:t>C2</w:t>
            </w:r>
          </w:p>
        </w:tc>
        <w:tc>
          <w:tcPr>
            <w:tcW w:w="2127" w:type="dxa"/>
            <w:vAlign w:val="center"/>
          </w:tcPr>
          <w:p w14:paraId="6ED6FC49">
            <w:pPr>
              <w:jc w:val="center"/>
              <w:rPr>
                <w:rFonts w:ascii="宋体" w:hAnsi="宋体"/>
                <w:sz w:val="21"/>
                <w:szCs w:val="21"/>
              </w:rPr>
            </w:pPr>
            <w:r>
              <w:rPr>
                <w:rFonts w:hint="eastAsia" w:ascii="宋体" w:hAnsi="宋体"/>
                <w:sz w:val="21"/>
                <w:szCs w:val="21"/>
              </w:rPr>
              <w:t>运行策划过程</w:t>
            </w:r>
          </w:p>
        </w:tc>
        <w:tc>
          <w:tcPr>
            <w:tcW w:w="567" w:type="dxa"/>
            <w:vAlign w:val="center"/>
          </w:tcPr>
          <w:p w14:paraId="3C715712">
            <w:pPr>
              <w:jc w:val="center"/>
              <w:rPr>
                <w:rFonts w:ascii="宋体" w:hAnsi="宋体"/>
                <w:sz w:val="21"/>
                <w:szCs w:val="21"/>
              </w:rPr>
            </w:pPr>
            <w:r>
              <w:rPr>
                <w:rFonts w:hint="eastAsia" w:ascii="宋体" w:hAnsi="宋体"/>
                <w:sz w:val="21"/>
                <w:szCs w:val="21"/>
              </w:rPr>
              <w:t>S2</w:t>
            </w:r>
          </w:p>
        </w:tc>
        <w:tc>
          <w:tcPr>
            <w:tcW w:w="2693" w:type="dxa"/>
            <w:vAlign w:val="center"/>
          </w:tcPr>
          <w:p w14:paraId="17B34CD3">
            <w:pPr>
              <w:jc w:val="center"/>
              <w:rPr>
                <w:rFonts w:ascii="宋体" w:hAnsi="宋体"/>
                <w:sz w:val="21"/>
                <w:szCs w:val="21"/>
              </w:rPr>
            </w:pPr>
            <w:r>
              <w:rPr>
                <w:rFonts w:hint="eastAsia" w:ascii="宋体" w:hAnsi="宋体"/>
                <w:sz w:val="21"/>
                <w:szCs w:val="21"/>
              </w:rPr>
              <w:t>能力、意识和沟通</w:t>
            </w:r>
          </w:p>
        </w:tc>
        <w:tc>
          <w:tcPr>
            <w:tcW w:w="709" w:type="dxa"/>
            <w:vAlign w:val="center"/>
          </w:tcPr>
          <w:p w14:paraId="1C89FAE4">
            <w:pPr>
              <w:jc w:val="center"/>
              <w:rPr>
                <w:rFonts w:ascii="宋体" w:hAnsi="宋体"/>
                <w:sz w:val="21"/>
                <w:szCs w:val="21"/>
              </w:rPr>
            </w:pPr>
            <w:r>
              <w:rPr>
                <w:rFonts w:hint="eastAsia" w:ascii="宋体" w:hAnsi="宋体"/>
                <w:sz w:val="21"/>
                <w:szCs w:val="21"/>
              </w:rPr>
              <w:t>M2</w:t>
            </w:r>
          </w:p>
        </w:tc>
        <w:tc>
          <w:tcPr>
            <w:tcW w:w="2268" w:type="dxa"/>
            <w:vAlign w:val="center"/>
          </w:tcPr>
          <w:p w14:paraId="4F0BD7D0">
            <w:pPr>
              <w:jc w:val="center"/>
              <w:rPr>
                <w:rFonts w:ascii="宋体" w:hAnsi="宋体"/>
                <w:sz w:val="21"/>
                <w:szCs w:val="21"/>
              </w:rPr>
            </w:pPr>
            <w:r>
              <w:rPr>
                <w:rFonts w:hint="eastAsia" w:ascii="宋体" w:hAnsi="宋体"/>
                <w:sz w:val="21"/>
                <w:szCs w:val="21"/>
              </w:rPr>
              <w:t>质量目标及其实施的策划</w:t>
            </w:r>
          </w:p>
        </w:tc>
      </w:tr>
      <w:tr w14:paraId="59B8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CB5D23">
            <w:pPr>
              <w:jc w:val="center"/>
              <w:rPr>
                <w:rFonts w:ascii="宋体" w:hAnsi="宋体"/>
                <w:sz w:val="21"/>
                <w:szCs w:val="21"/>
              </w:rPr>
            </w:pPr>
            <w:r>
              <w:rPr>
                <w:rFonts w:hint="eastAsia" w:ascii="宋体" w:hAnsi="宋体"/>
                <w:sz w:val="21"/>
                <w:szCs w:val="21"/>
              </w:rPr>
              <w:t>C3</w:t>
            </w:r>
          </w:p>
        </w:tc>
        <w:tc>
          <w:tcPr>
            <w:tcW w:w="2127" w:type="dxa"/>
            <w:vAlign w:val="center"/>
          </w:tcPr>
          <w:p w14:paraId="430D371D">
            <w:pPr>
              <w:jc w:val="center"/>
              <w:rPr>
                <w:rFonts w:ascii="宋体" w:hAnsi="宋体"/>
                <w:sz w:val="21"/>
                <w:szCs w:val="21"/>
              </w:rPr>
            </w:pPr>
            <w:r>
              <w:rPr>
                <w:rFonts w:hint="eastAsia" w:ascii="宋体" w:hAnsi="宋体"/>
                <w:sz w:val="21"/>
                <w:szCs w:val="21"/>
              </w:rPr>
              <w:t>产品和服务的设计开发</w:t>
            </w:r>
          </w:p>
        </w:tc>
        <w:tc>
          <w:tcPr>
            <w:tcW w:w="567" w:type="dxa"/>
            <w:vAlign w:val="center"/>
          </w:tcPr>
          <w:p w14:paraId="2458C6C5">
            <w:pPr>
              <w:jc w:val="center"/>
              <w:rPr>
                <w:rFonts w:ascii="宋体" w:hAnsi="宋体"/>
                <w:sz w:val="21"/>
                <w:szCs w:val="21"/>
              </w:rPr>
            </w:pPr>
            <w:r>
              <w:rPr>
                <w:rFonts w:hint="eastAsia" w:ascii="宋体" w:hAnsi="宋体"/>
                <w:sz w:val="21"/>
                <w:szCs w:val="21"/>
              </w:rPr>
              <w:t>S3</w:t>
            </w:r>
          </w:p>
        </w:tc>
        <w:tc>
          <w:tcPr>
            <w:tcW w:w="2693" w:type="dxa"/>
            <w:vAlign w:val="center"/>
          </w:tcPr>
          <w:p w14:paraId="45222B88">
            <w:pPr>
              <w:jc w:val="center"/>
              <w:rPr>
                <w:rFonts w:ascii="宋体" w:hAnsi="宋体"/>
                <w:sz w:val="21"/>
                <w:szCs w:val="21"/>
              </w:rPr>
            </w:pPr>
            <w:r>
              <w:rPr>
                <w:rFonts w:hint="eastAsia" w:ascii="宋体" w:hAnsi="宋体"/>
                <w:sz w:val="21"/>
                <w:szCs w:val="21"/>
              </w:rPr>
              <w:t>成文信息</w:t>
            </w:r>
          </w:p>
        </w:tc>
        <w:tc>
          <w:tcPr>
            <w:tcW w:w="709" w:type="dxa"/>
            <w:vAlign w:val="center"/>
          </w:tcPr>
          <w:p w14:paraId="3E30A666">
            <w:pPr>
              <w:jc w:val="center"/>
              <w:rPr>
                <w:rFonts w:ascii="宋体" w:hAnsi="宋体"/>
                <w:sz w:val="21"/>
                <w:szCs w:val="21"/>
              </w:rPr>
            </w:pPr>
            <w:r>
              <w:rPr>
                <w:rFonts w:hint="eastAsia" w:ascii="宋体" w:hAnsi="宋体"/>
                <w:sz w:val="21"/>
                <w:szCs w:val="21"/>
              </w:rPr>
              <w:t>M3</w:t>
            </w:r>
          </w:p>
        </w:tc>
        <w:tc>
          <w:tcPr>
            <w:tcW w:w="2268" w:type="dxa"/>
            <w:vAlign w:val="center"/>
          </w:tcPr>
          <w:p w14:paraId="5258D2C8">
            <w:pPr>
              <w:jc w:val="center"/>
              <w:rPr>
                <w:rFonts w:ascii="宋体" w:hAnsi="宋体"/>
                <w:sz w:val="21"/>
                <w:szCs w:val="21"/>
              </w:rPr>
            </w:pPr>
            <w:r>
              <w:rPr>
                <w:rFonts w:hint="eastAsia" w:ascii="宋体" w:hAnsi="宋体"/>
                <w:sz w:val="21"/>
                <w:szCs w:val="21"/>
              </w:rPr>
              <w:t>监视测量分析与评价</w:t>
            </w:r>
          </w:p>
        </w:tc>
      </w:tr>
      <w:tr w14:paraId="7BA2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6BB118">
            <w:pPr>
              <w:jc w:val="center"/>
              <w:rPr>
                <w:rFonts w:ascii="宋体" w:hAnsi="宋体"/>
                <w:sz w:val="21"/>
                <w:szCs w:val="21"/>
              </w:rPr>
            </w:pPr>
            <w:r>
              <w:rPr>
                <w:rFonts w:hint="eastAsia" w:ascii="宋体" w:hAnsi="宋体"/>
                <w:sz w:val="21"/>
                <w:szCs w:val="21"/>
              </w:rPr>
              <w:t>C4</w:t>
            </w:r>
          </w:p>
        </w:tc>
        <w:tc>
          <w:tcPr>
            <w:tcW w:w="2127" w:type="dxa"/>
            <w:vAlign w:val="center"/>
          </w:tcPr>
          <w:p w14:paraId="77DCC722">
            <w:pPr>
              <w:jc w:val="center"/>
              <w:rPr>
                <w:rFonts w:ascii="宋体" w:hAnsi="宋体"/>
                <w:sz w:val="21"/>
                <w:szCs w:val="21"/>
              </w:rPr>
            </w:pPr>
            <w:r>
              <w:rPr>
                <w:rFonts w:hint="eastAsia" w:ascii="宋体" w:hAnsi="宋体"/>
                <w:sz w:val="21"/>
                <w:szCs w:val="21"/>
              </w:rPr>
              <w:t>外部提供的过程、产品和服务的控制</w:t>
            </w:r>
          </w:p>
        </w:tc>
        <w:tc>
          <w:tcPr>
            <w:tcW w:w="567" w:type="dxa"/>
            <w:vAlign w:val="center"/>
          </w:tcPr>
          <w:p w14:paraId="325E4225">
            <w:pPr>
              <w:jc w:val="center"/>
              <w:rPr>
                <w:rFonts w:ascii="宋体" w:hAnsi="宋体"/>
                <w:sz w:val="21"/>
                <w:szCs w:val="21"/>
              </w:rPr>
            </w:pPr>
            <w:r>
              <w:rPr>
                <w:rFonts w:hint="eastAsia" w:ascii="宋体" w:hAnsi="宋体"/>
                <w:sz w:val="21"/>
                <w:szCs w:val="21"/>
              </w:rPr>
              <w:t>S4</w:t>
            </w:r>
          </w:p>
        </w:tc>
        <w:tc>
          <w:tcPr>
            <w:tcW w:w="2693" w:type="dxa"/>
            <w:vAlign w:val="center"/>
          </w:tcPr>
          <w:p w14:paraId="1FD5499D">
            <w:pPr>
              <w:jc w:val="center"/>
              <w:rPr>
                <w:rFonts w:ascii="宋体" w:hAnsi="宋体"/>
                <w:sz w:val="21"/>
                <w:szCs w:val="21"/>
              </w:rPr>
            </w:pPr>
            <w:r>
              <w:rPr>
                <w:rFonts w:hint="eastAsia" w:ascii="宋体" w:hAnsi="宋体"/>
                <w:sz w:val="21"/>
                <w:szCs w:val="21"/>
              </w:rPr>
              <w:t>质量信息管理</w:t>
            </w:r>
          </w:p>
        </w:tc>
        <w:tc>
          <w:tcPr>
            <w:tcW w:w="709" w:type="dxa"/>
            <w:vAlign w:val="center"/>
          </w:tcPr>
          <w:p w14:paraId="7185099A">
            <w:pPr>
              <w:jc w:val="center"/>
              <w:rPr>
                <w:rFonts w:ascii="宋体" w:hAnsi="宋体"/>
                <w:sz w:val="21"/>
                <w:szCs w:val="21"/>
              </w:rPr>
            </w:pPr>
            <w:r>
              <w:rPr>
                <w:rFonts w:hint="eastAsia" w:ascii="宋体" w:hAnsi="宋体"/>
                <w:sz w:val="21"/>
                <w:szCs w:val="21"/>
              </w:rPr>
              <w:t>M4</w:t>
            </w:r>
          </w:p>
        </w:tc>
        <w:tc>
          <w:tcPr>
            <w:tcW w:w="2268" w:type="dxa"/>
            <w:vAlign w:val="center"/>
          </w:tcPr>
          <w:p w14:paraId="2F7DA5EC">
            <w:pPr>
              <w:jc w:val="center"/>
              <w:rPr>
                <w:rFonts w:ascii="宋体" w:hAnsi="宋体"/>
                <w:sz w:val="21"/>
                <w:szCs w:val="21"/>
              </w:rPr>
            </w:pPr>
            <w:r>
              <w:rPr>
                <w:rFonts w:hint="eastAsia" w:ascii="宋体" w:hAnsi="宋体"/>
                <w:sz w:val="21"/>
                <w:szCs w:val="21"/>
              </w:rPr>
              <w:t>顾客满意</w:t>
            </w:r>
          </w:p>
        </w:tc>
      </w:tr>
      <w:tr w14:paraId="3519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6047CF">
            <w:pPr>
              <w:jc w:val="center"/>
              <w:rPr>
                <w:rFonts w:ascii="宋体" w:hAnsi="宋体"/>
                <w:sz w:val="21"/>
                <w:szCs w:val="21"/>
              </w:rPr>
            </w:pPr>
            <w:r>
              <w:rPr>
                <w:rFonts w:hint="eastAsia" w:ascii="宋体" w:hAnsi="宋体"/>
                <w:sz w:val="21"/>
                <w:szCs w:val="21"/>
              </w:rPr>
              <w:t>C5</w:t>
            </w:r>
          </w:p>
        </w:tc>
        <w:tc>
          <w:tcPr>
            <w:tcW w:w="2127" w:type="dxa"/>
            <w:vAlign w:val="center"/>
          </w:tcPr>
          <w:p w14:paraId="1C077C82">
            <w:pPr>
              <w:jc w:val="center"/>
              <w:rPr>
                <w:rFonts w:ascii="宋体" w:hAnsi="宋体"/>
                <w:sz w:val="21"/>
                <w:szCs w:val="21"/>
              </w:rPr>
            </w:pPr>
            <w:r>
              <w:rPr>
                <w:rFonts w:hint="eastAsia" w:ascii="宋体" w:hAnsi="宋体"/>
                <w:sz w:val="21"/>
                <w:szCs w:val="21"/>
              </w:rPr>
              <w:t>生产和服务提供</w:t>
            </w:r>
          </w:p>
        </w:tc>
        <w:tc>
          <w:tcPr>
            <w:tcW w:w="567" w:type="dxa"/>
            <w:vAlign w:val="center"/>
          </w:tcPr>
          <w:p w14:paraId="192FBAFE">
            <w:pPr>
              <w:jc w:val="center"/>
              <w:rPr>
                <w:rFonts w:ascii="宋体" w:hAnsi="宋体"/>
                <w:sz w:val="21"/>
                <w:szCs w:val="21"/>
              </w:rPr>
            </w:pPr>
          </w:p>
        </w:tc>
        <w:tc>
          <w:tcPr>
            <w:tcW w:w="2693" w:type="dxa"/>
            <w:vAlign w:val="center"/>
          </w:tcPr>
          <w:p w14:paraId="46715F21">
            <w:pPr>
              <w:jc w:val="center"/>
              <w:rPr>
                <w:rFonts w:ascii="宋体" w:hAnsi="宋体"/>
                <w:sz w:val="21"/>
                <w:szCs w:val="21"/>
              </w:rPr>
            </w:pPr>
          </w:p>
        </w:tc>
        <w:tc>
          <w:tcPr>
            <w:tcW w:w="709" w:type="dxa"/>
            <w:vAlign w:val="center"/>
          </w:tcPr>
          <w:p w14:paraId="7FE6A116">
            <w:pPr>
              <w:jc w:val="center"/>
              <w:rPr>
                <w:rFonts w:ascii="宋体" w:hAnsi="宋体"/>
                <w:sz w:val="21"/>
                <w:szCs w:val="21"/>
              </w:rPr>
            </w:pPr>
            <w:r>
              <w:rPr>
                <w:rFonts w:hint="eastAsia" w:ascii="宋体" w:hAnsi="宋体"/>
                <w:sz w:val="21"/>
                <w:szCs w:val="21"/>
              </w:rPr>
              <w:t>M5</w:t>
            </w:r>
          </w:p>
        </w:tc>
        <w:tc>
          <w:tcPr>
            <w:tcW w:w="2268" w:type="dxa"/>
            <w:vAlign w:val="center"/>
          </w:tcPr>
          <w:p w14:paraId="00DE0523">
            <w:pPr>
              <w:jc w:val="center"/>
              <w:rPr>
                <w:rFonts w:ascii="宋体" w:hAnsi="宋体"/>
                <w:sz w:val="21"/>
                <w:szCs w:val="21"/>
              </w:rPr>
            </w:pPr>
            <w:r>
              <w:rPr>
                <w:rFonts w:hint="eastAsia" w:ascii="宋体" w:hAnsi="宋体"/>
                <w:sz w:val="21"/>
                <w:szCs w:val="21"/>
              </w:rPr>
              <w:t>内部审核</w:t>
            </w:r>
          </w:p>
        </w:tc>
      </w:tr>
      <w:tr w14:paraId="4780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CB1D7B">
            <w:pPr>
              <w:jc w:val="center"/>
              <w:rPr>
                <w:rFonts w:ascii="宋体" w:hAnsi="宋体"/>
                <w:sz w:val="21"/>
                <w:szCs w:val="21"/>
              </w:rPr>
            </w:pPr>
            <w:r>
              <w:rPr>
                <w:rFonts w:hint="eastAsia" w:ascii="宋体" w:hAnsi="宋体"/>
                <w:sz w:val="21"/>
                <w:szCs w:val="21"/>
              </w:rPr>
              <w:t>C6</w:t>
            </w:r>
          </w:p>
        </w:tc>
        <w:tc>
          <w:tcPr>
            <w:tcW w:w="2127" w:type="dxa"/>
            <w:vAlign w:val="center"/>
          </w:tcPr>
          <w:p w14:paraId="335551F8">
            <w:pPr>
              <w:jc w:val="center"/>
              <w:rPr>
                <w:rFonts w:ascii="宋体" w:hAnsi="宋体"/>
                <w:sz w:val="21"/>
                <w:szCs w:val="21"/>
              </w:rPr>
            </w:pPr>
            <w:r>
              <w:rPr>
                <w:rFonts w:hint="eastAsia" w:ascii="宋体" w:hAnsi="宋体"/>
                <w:sz w:val="21"/>
                <w:szCs w:val="21"/>
              </w:rPr>
              <w:t>产品和服务放行</w:t>
            </w:r>
          </w:p>
          <w:p w14:paraId="121E5DFE">
            <w:pPr>
              <w:jc w:val="center"/>
              <w:rPr>
                <w:rFonts w:ascii="宋体" w:hAnsi="宋体"/>
                <w:sz w:val="21"/>
                <w:szCs w:val="21"/>
              </w:rPr>
            </w:pPr>
            <w:r>
              <w:rPr>
                <w:rFonts w:hint="eastAsia" w:ascii="宋体" w:hAnsi="宋体"/>
                <w:sz w:val="21"/>
                <w:szCs w:val="21"/>
              </w:rPr>
              <w:t>（产品监视和测量过程）</w:t>
            </w:r>
          </w:p>
        </w:tc>
        <w:tc>
          <w:tcPr>
            <w:tcW w:w="567" w:type="dxa"/>
            <w:vAlign w:val="center"/>
          </w:tcPr>
          <w:p w14:paraId="2B9D7066">
            <w:pPr>
              <w:jc w:val="center"/>
              <w:rPr>
                <w:rFonts w:ascii="宋体" w:hAnsi="宋体"/>
                <w:sz w:val="21"/>
                <w:szCs w:val="21"/>
              </w:rPr>
            </w:pPr>
          </w:p>
        </w:tc>
        <w:tc>
          <w:tcPr>
            <w:tcW w:w="2693" w:type="dxa"/>
            <w:vAlign w:val="center"/>
          </w:tcPr>
          <w:p w14:paraId="3E852677">
            <w:pPr>
              <w:jc w:val="center"/>
              <w:rPr>
                <w:rFonts w:ascii="宋体" w:hAnsi="宋体"/>
                <w:sz w:val="21"/>
                <w:szCs w:val="21"/>
              </w:rPr>
            </w:pPr>
          </w:p>
        </w:tc>
        <w:tc>
          <w:tcPr>
            <w:tcW w:w="709" w:type="dxa"/>
            <w:vAlign w:val="center"/>
          </w:tcPr>
          <w:p w14:paraId="6CCDCE75">
            <w:pPr>
              <w:jc w:val="center"/>
              <w:rPr>
                <w:rFonts w:ascii="宋体" w:hAnsi="宋体"/>
                <w:sz w:val="21"/>
                <w:szCs w:val="21"/>
              </w:rPr>
            </w:pPr>
            <w:r>
              <w:rPr>
                <w:rFonts w:hint="eastAsia" w:ascii="宋体" w:hAnsi="宋体"/>
                <w:sz w:val="21"/>
                <w:szCs w:val="21"/>
              </w:rPr>
              <w:t>M6</w:t>
            </w:r>
          </w:p>
        </w:tc>
        <w:tc>
          <w:tcPr>
            <w:tcW w:w="2268" w:type="dxa"/>
            <w:vAlign w:val="center"/>
          </w:tcPr>
          <w:p w14:paraId="22E1FEEE">
            <w:pPr>
              <w:jc w:val="center"/>
              <w:rPr>
                <w:rFonts w:ascii="宋体" w:hAnsi="宋体"/>
                <w:sz w:val="21"/>
                <w:szCs w:val="21"/>
              </w:rPr>
            </w:pPr>
            <w:r>
              <w:rPr>
                <w:rFonts w:hint="eastAsia" w:ascii="宋体" w:hAnsi="宋体"/>
                <w:sz w:val="21"/>
                <w:szCs w:val="21"/>
              </w:rPr>
              <w:t>管理评审</w:t>
            </w:r>
          </w:p>
        </w:tc>
      </w:tr>
      <w:tr w14:paraId="40F4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AC2752">
            <w:pPr>
              <w:jc w:val="center"/>
              <w:rPr>
                <w:rFonts w:ascii="宋体" w:hAnsi="宋体"/>
                <w:sz w:val="21"/>
                <w:szCs w:val="21"/>
              </w:rPr>
            </w:pPr>
            <w:r>
              <w:rPr>
                <w:rFonts w:hint="eastAsia" w:ascii="宋体" w:hAnsi="宋体"/>
                <w:sz w:val="21"/>
                <w:szCs w:val="21"/>
              </w:rPr>
              <w:t>C7</w:t>
            </w:r>
          </w:p>
        </w:tc>
        <w:tc>
          <w:tcPr>
            <w:tcW w:w="2127" w:type="dxa"/>
            <w:vAlign w:val="center"/>
          </w:tcPr>
          <w:p w14:paraId="0F00D8A0">
            <w:pPr>
              <w:jc w:val="center"/>
              <w:rPr>
                <w:rFonts w:ascii="宋体" w:hAnsi="宋体"/>
                <w:sz w:val="21"/>
                <w:szCs w:val="21"/>
              </w:rPr>
            </w:pPr>
            <w:r>
              <w:rPr>
                <w:rFonts w:hint="eastAsia" w:ascii="宋体" w:hAnsi="宋体"/>
                <w:sz w:val="21"/>
                <w:szCs w:val="21"/>
              </w:rPr>
              <w:t>不合格输出的控制</w:t>
            </w:r>
          </w:p>
        </w:tc>
        <w:tc>
          <w:tcPr>
            <w:tcW w:w="567" w:type="dxa"/>
            <w:vAlign w:val="center"/>
          </w:tcPr>
          <w:p w14:paraId="6B66BA8A">
            <w:pPr>
              <w:jc w:val="center"/>
              <w:rPr>
                <w:rFonts w:ascii="宋体" w:hAnsi="宋体"/>
                <w:sz w:val="21"/>
                <w:szCs w:val="21"/>
              </w:rPr>
            </w:pPr>
          </w:p>
        </w:tc>
        <w:tc>
          <w:tcPr>
            <w:tcW w:w="2693" w:type="dxa"/>
            <w:vAlign w:val="center"/>
          </w:tcPr>
          <w:p w14:paraId="39FA046C">
            <w:pPr>
              <w:jc w:val="center"/>
              <w:rPr>
                <w:rFonts w:ascii="宋体" w:hAnsi="宋体"/>
                <w:sz w:val="21"/>
                <w:szCs w:val="21"/>
              </w:rPr>
            </w:pPr>
          </w:p>
        </w:tc>
        <w:tc>
          <w:tcPr>
            <w:tcW w:w="709" w:type="dxa"/>
            <w:vAlign w:val="center"/>
          </w:tcPr>
          <w:p w14:paraId="486AC48B">
            <w:pPr>
              <w:jc w:val="center"/>
              <w:rPr>
                <w:rFonts w:ascii="宋体" w:hAnsi="宋体"/>
                <w:sz w:val="21"/>
                <w:szCs w:val="21"/>
              </w:rPr>
            </w:pPr>
            <w:r>
              <w:rPr>
                <w:rFonts w:hint="eastAsia" w:ascii="宋体" w:hAnsi="宋体"/>
                <w:sz w:val="21"/>
                <w:szCs w:val="21"/>
              </w:rPr>
              <w:t>M7</w:t>
            </w:r>
          </w:p>
        </w:tc>
        <w:tc>
          <w:tcPr>
            <w:tcW w:w="2268" w:type="dxa"/>
            <w:vAlign w:val="center"/>
          </w:tcPr>
          <w:p w14:paraId="30EB66C7">
            <w:pPr>
              <w:jc w:val="center"/>
              <w:rPr>
                <w:rFonts w:ascii="宋体" w:hAnsi="宋体"/>
                <w:sz w:val="21"/>
                <w:szCs w:val="21"/>
              </w:rPr>
            </w:pPr>
            <w:r>
              <w:rPr>
                <w:rFonts w:hint="eastAsia" w:ascii="宋体" w:hAnsi="宋体"/>
                <w:sz w:val="21"/>
                <w:szCs w:val="21"/>
              </w:rPr>
              <w:t>不合格和纠正措施与改进</w:t>
            </w:r>
          </w:p>
        </w:tc>
      </w:tr>
      <w:tr w14:paraId="377B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EEA218B">
            <w:pPr>
              <w:jc w:val="center"/>
              <w:rPr>
                <w:rFonts w:ascii="宋体" w:hAnsi="宋体"/>
                <w:sz w:val="21"/>
                <w:szCs w:val="21"/>
              </w:rPr>
            </w:pPr>
            <w:r>
              <w:rPr>
                <w:rFonts w:hint="eastAsia" w:ascii="宋体" w:hAnsi="宋体"/>
                <w:sz w:val="21"/>
                <w:szCs w:val="21"/>
              </w:rPr>
              <w:t>C8</w:t>
            </w:r>
          </w:p>
        </w:tc>
        <w:tc>
          <w:tcPr>
            <w:tcW w:w="2127" w:type="dxa"/>
            <w:vAlign w:val="center"/>
          </w:tcPr>
          <w:p w14:paraId="77C90B07">
            <w:pPr>
              <w:jc w:val="center"/>
              <w:rPr>
                <w:rFonts w:ascii="宋体" w:hAnsi="宋体"/>
                <w:sz w:val="21"/>
                <w:szCs w:val="21"/>
              </w:rPr>
            </w:pPr>
            <w:r>
              <w:rPr>
                <w:rFonts w:hint="eastAsia" w:ascii="宋体" w:hAnsi="宋体"/>
                <w:sz w:val="21"/>
                <w:szCs w:val="21"/>
              </w:rPr>
              <w:t>产品的交付与放行</w:t>
            </w:r>
          </w:p>
        </w:tc>
        <w:tc>
          <w:tcPr>
            <w:tcW w:w="567" w:type="dxa"/>
            <w:vAlign w:val="center"/>
          </w:tcPr>
          <w:p w14:paraId="7B4E9B6A">
            <w:pPr>
              <w:jc w:val="center"/>
              <w:rPr>
                <w:rFonts w:ascii="宋体" w:hAnsi="宋体"/>
                <w:sz w:val="21"/>
                <w:szCs w:val="21"/>
              </w:rPr>
            </w:pPr>
          </w:p>
        </w:tc>
        <w:tc>
          <w:tcPr>
            <w:tcW w:w="2693" w:type="dxa"/>
            <w:vAlign w:val="center"/>
          </w:tcPr>
          <w:p w14:paraId="553F72B0">
            <w:pPr>
              <w:jc w:val="center"/>
              <w:rPr>
                <w:rFonts w:ascii="宋体" w:hAnsi="宋体"/>
                <w:sz w:val="21"/>
                <w:szCs w:val="21"/>
              </w:rPr>
            </w:pPr>
          </w:p>
        </w:tc>
        <w:tc>
          <w:tcPr>
            <w:tcW w:w="709" w:type="dxa"/>
            <w:vAlign w:val="center"/>
          </w:tcPr>
          <w:p w14:paraId="0BC6E100">
            <w:pPr>
              <w:jc w:val="center"/>
              <w:rPr>
                <w:rFonts w:ascii="宋体" w:hAnsi="宋体"/>
                <w:sz w:val="21"/>
                <w:szCs w:val="21"/>
              </w:rPr>
            </w:pPr>
          </w:p>
        </w:tc>
        <w:tc>
          <w:tcPr>
            <w:tcW w:w="2268" w:type="dxa"/>
            <w:vAlign w:val="center"/>
          </w:tcPr>
          <w:p w14:paraId="678D0DA8">
            <w:pPr>
              <w:jc w:val="center"/>
              <w:rPr>
                <w:rFonts w:ascii="宋体" w:hAnsi="宋体"/>
                <w:sz w:val="21"/>
                <w:szCs w:val="21"/>
              </w:rPr>
            </w:pPr>
          </w:p>
        </w:tc>
      </w:tr>
      <w:tr w14:paraId="1169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CAAB5A">
            <w:pPr>
              <w:jc w:val="center"/>
              <w:rPr>
                <w:rFonts w:ascii="宋体" w:hAnsi="宋体"/>
                <w:sz w:val="21"/>
                <w:szCs w:val="21"/>
              </w:rPr>
            </w:pPr>
            <w:r>
              <w:rPr>
                <w:rFonts w:hint="eastAsia" w:ascii="宋体" w:hAnsi="宋体"/>
                <w:sz w:val="21"/>
                <w:szCs w:val="21"/>
              </w:rPr>
              <w:t>C9</w:t>
            </w:r>
          </w:p>
        </w:tc>
        <w:tc>
          <w:tcPr>
            <w:tcW w:w="2127" w:type="dxa"/>
            <w:vAlign w:val="center"/>
          </w:tcPr>
          <w:p w14:paraId="7F535B97">
            <w:pPr>
              <w:jc w:val="center"/>
              <w:rPr>
                <w:rFonts w:ascii="宋体" w:hAnsi="宋体"/>
                <w:sz w:val="21"/>
                <w:szCs w:val="21"/>
              </w:rPr>
            </w:pPr>
            <w:r>
              <w:rPr>
                <w:rFonts w:hint="eastAsia" w:ascii="宋体" w:hAnsi="宋体"/>
                <w:sz w:val="21"/>
                <w:szCs w:val="21"/>
              </w:rPr>
              <w:t>交付后的活动</w:t>
            </w:r>
          </w:p>
        </w:tc>
        <w:tc>
          <w:tcPr>
            <w:tcW w:w="567" w:type="dxa"/>
            <w:vAlign w:val="center"/>
          </w:tcPr>
          <w:p w14:paraId="030EBC79">
            <w:pPr>
              <w:jc w:val="center"/>
              <w:rPr>
                <w:rFonts w:ascii="宋体" w:hAnsi="宋体"/>
                <w:sz w:val="21"/>
                <w:szCs w:val="21"/>
              </w:rPr>
            </w:pPr>
          </w:p>
        </w:tc>
        <w:tc>
          <w:tcPr>
            <w:tcW w:w="2693" w:type="dxa"/>
            <w:vAlign w:val="center"/>
          </w:tcPr>
          <w:p w14:paraId="4CF6B689">
            <w:pPr>
              <w:jc w:val="center"/>
              <w:rPr>
                <w:rFonts w:ascii="宋体" w:hAnsi="宋体"/>
                <w:sz w:val="21"/>
                <w:szCs w:val="21"/>
              </w:rPr>
            </w:pPr>
          </w:p>
        </w:tc>
        <w:tc>
          <w:tcPr>
            <w:tcW w:w="709" w:type="dxa"/>
            <w:vAlign w:val="center"/>
          </w:tcPr>
          <w:p w14:paraId="4B3342F3">
            <w:pPr>
              <w:jc w:val="center"/>
              <w:rPr>
                <w:rFonts w:ascii="宋体" w:hAnsi="宋体"/>
                <w:sz w:val="21"/>
                <w:szCs w:val="21"/>
              </w:rPr>
            </w:pPr>
          </w:p>
        </w:tc>
        <w:tc>
          <w:tcPr>
            <w:tcW w:w="2268" w:type="dxa"/>
            <w:vAlign w:val="center"/>
          </w:tcPr>
          <w:p w14:paraId="6C3A7D5C">
            <w:pPr>
              <w:jc w:val="center"/>
              <w:rPr>
                <w:rFonts w:ascii="宋体" w:hAnsi="宋体"/>
                <w:sz w:val="21"/>
                <w:szCs w:val="21"/>
              </w:rPr>
            </w:pPr>
          </w:p>
        </w:tc>
      </w:tr>
    </w:tbl>
    <w:p w14:paraId="12928E0D">
      <w:pPr>
        <w:widowControl/>
        <w:spacing w:line="400" w:lineRule="exact"/>
        <w:jc w:val="left"/>
        <w:rPr>
          <w:rFonts w:ascii="宋体" w:hAnsi="宋体"/>
          <w:sz w:val="21"/>
          <w:szCs w:val="21"/>
        </w:rPr>
      </w:pPr>
      <w:r>
        <w:rPr>
          <w:rFonts w:hint="eastAsia" w:ascii="宋体" w:hAnsi="宋体"/>
          <w:sz w:val="21"/>
          <w:szCs w:val="21"/>
        </w:rPr>
        <w:t>详见附录F：《过程识别一览表》。</w:t>
      </w:r>
    </w:p>
    <w:p w14:paraId="28421CBB">
      <w:pPr>
        <w:widowControl/>
        <w:spacing w:line="400" w:lineRule="exact"/>
        <w:jc w:val="left"/>
        <w:rPr>
          <w:rFonts w:ascii="宋体" w:hAnsi="宋体"/>
          <w:sz w:val="21"/>
          <w:szCs w:val="21"/>
        </w:rPr>
      </w:pPr>
      <w:r>
        <w:rPr>
          <w:rFonts w:hint="eastAsia" w:ascii="宋体" w:hAnsi="宋体"/>
          <w:sz w:val="21"/>
          <w:szCs w:val="21"/>
        </w:rPr>
        <w:t>注：管理过程（M1风险和机遇的应对措施及运行策划、M2质量目标及其实施的策划、M3监视测量分析与评价、M5内部审核、M6管理评审、M7不合格和纠正措施与改进）与所有过程有关。</w:t>
      </w:r>
    </w:p>
    <w:p w14:paraId="696B1749">
      <w:pPr>
        <w:widowControl/>
        <w:spacing w:line="400" w:lineRule="exact"/>
        <w:jc w:val="left"/>
        <w:rPr>
          <w:rFonts w:ascii="宋体" w:hAnsi="宋体"/>
          <w:sz w:val="21"/>
          <w:szCs w:val="21"/>
        </w:rPr>
      </w:pPr>
    </w:p>
    <w:p w14:paraId="23EC3152">
      <w:pPr>
        <w:widowControl/>
        <w:spacing w:line="400" w:lineRule="exact"/>
        <w:jc w:val="left"/>
        <w:rPr>
          <w:rFonts w:ascii="宋体" w:hAnsi="宋体"/>
          <w:sz w:val="21"/>
          <w:szCs w:val="21"/>
        </w:rPr>
        <w:sectPr>
          <w:headerReference r:id="rId7" w:type="default"/>
          <w:type w:val="continuous"/>
          <w:pgSz w:w="11906" w:h="16838"/>
          <w:pgMar w:top="1418" w:right="1418" w:bottom="1418" w:left="1701" w:header="851" w:footer="992" w:gutter="0"/>
          <w:pgNumType w:start="1"/>
          <w:cols w:space="720" w:num="1"/>
          <w:docGrid w:linePitch="312" w:charSpace="0"/>
        </w:sectPr>
      </w:pPr>
    </w:p>
    <w:p w14:paraId="061B799E">
      <w:pPr>
        <w:widowControl/>
        <w:spacing w:line="400" w:lineRule="exact"/>
        <w:jc w:val="lef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6128" behindDoc="0" locked="0" layoutInCell="1" allowOverlap="1">
                <wp:simplePos x="0" y="0"/>
                <wp:positionH relativeFrom="column">
                  <wp:posOffset>3876675</wp:posOffset>
                </wp:positionH>
                <wp:positionV relativeFrom="paragraph">
                  <wp:posOffset>166370</wp:posOffset>
                </wp:positionV>
                <wp:extent cx="1786890" cy="2800350"/>
                <wp:effectExtent l="4445" t="4445" r="18415" b="14605"/>
                <wp:wrapNone/>
                <wp:docPr id="36" name="文本框 2"/>
                <wp:cNvGraphicFramePr/>
                <a:graphic xmlns:a="http://schemas.openxmlformats.org/drawingml/2006/main">
                  <a:graphicData uri="http://schemas.microsoft.com/office/word/2010/wordprocessingShape">
                    <wps:wsp>
                      <wps:cNvSpPr txBox="1"/>
                      <wps:spPr>
                        <a:xfrm>
                          <a:off x="0" y="0"/>
                          <a:ext cx="1786890" cy="2800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399DD0">
                            <w:pPr>
                              <w:rPr>
                                <w:rFonts w:ascii="宋体" w:hAnsi="宋体"/>
                                <w:sz w:val="21"/>
                                <w:szCs w:val="21"/>
                              </w:rPr>
                            </w:pPr>
                            <w:r>
                              <w:rPr>
                                <w:rFonts w:hint="eastAsia" w:ascii="宋体" w:hAnsi="宋体"/>
                                <w:sz w:val="21"/>
                                <w:szCs w:val="21"/>
                              </w:rPr>
                              <w:t>C1产品和服务要求的确定</w:t>
                            </w:r>
                          </w:p>
                          <w:p w14:paraId="7C955153">
                            <w:pPr>
                              <w:rPr>
                                <w:rFonts w:ascii="宋体" w:hAnsi="宋体"/>
                                <w:sz w:val="21"/>
                                <w:szCs w:val="21"/>
                              </w:rPr>
                            </w:pPr>
                            <w:r>
                              <w:rPr>
                                <w:rFonts w:hint="eastAsia" w:ascii="宋体" w:hAnsi="宋体"/>
                                <w:sz w:val="21"/>
                                <w:szCs w:val="21"/>
                              </w:rPr>
                              <w:t>C2运行策划过程</w:t>
                            </w:r>
                          </w:p>
                          <w:p w14:paraId="7C3CA6D6">
                            <w:pPr>
                              <w:rPr>
                                <w:rFonts w:ascii="宋体" w:hAnsi="宋体"/>
                                <w:sz w:val="21"/>
                                <w:szCs w:val="21"/>
                              </w:rPr>
                            </w:pPr>
                            <w:r>
                              <w:rPr>
                                <w:rFonts w:hint="eastAsia" w:ascii="宋体" w:hAnsi="宋体"/>
                                <w:sz w:val="21"/>
                                <w:szCs w:val="21"/>
                              </w:rPr>
                              <w:t>C3产品和服务的设计开发</w:t>
                            </w:r>
                          </w:p>
                          <w:p w14:paraId="0DFC3C87">
                            <w:pPr>
                              <w:rPr>
                                <w:rFonts w:ascii="宋体" w:hAnsi="宋体"/>
                                <w:sz w:val="21"/>
                                <w:szCs w:val="21"/>
                              </w:rPr>
                            </w:pPr>
                            <w:r>
                              <w:rPr>
                                <w:rFonts w:hint="eastAsia" w:ascii="宋体" w:hAnsi="宋体"/>
                                <w:sz w:val="21"/>
                                <w:szCs w:val="21"/>
                              </w:rPr>
                              <w:t>C4外部提供的过程、产品和服务的控制</w:t>
                            </w:r>
                          </w:p>
                          <w:p w14:paraId="587E4CC7">
                            <w:pPr>
                              <w:rPr>
                                <w:rFonts w:ascii="宋体" w:hAnsi="宋体"/>
                                <w:sz w:val="21"/>
                                <w:szCs w:val="21"/>
                              </w:rPr>
                            </w:pPr>
                            <w:r>
                              <w:rPr>
                                <w:rFonts w:hint="eastAsia" w:ascii="宋体" w:hAnsi="宋体"/>
                                <w:sz w:val="21"/>
                                <w:szCs w:val="21"/>
                              </w:rPr>
                              <w:t>C5生产和服务提供</w:t>
                            </w:r>
                          </w:p>
                          <w:p w14:paraId="7DD18ADC">
                            <w:pPr>
                              <w:rPr>
                                <w:rFonts w:ascii="宋体" w:hAnsi="宋体"/>
                                <w:sz w:val="21"/>
                                <w:szCs w:val="21"/>
                              </w:rPr>
                            </w:pPr>
                            <w:r>
                              <w:rPr>
                                <w:rFonts w:hint="eastAsia" w:ascii="宋体" w:hAnsi="宋体"/>
                                <w:sz w:val="21"/>
                                <w:szCs w:val="21"/>
                              </w:rPr>
                              <w:t>C6产品和服务放行</w:t>
                            </w:r>
                          </w:p>
                          <w:p w14:paraId="39BE3955">
                            <w:pPr>
                              <w:rPr>
                                <w:rFonts w:ascii="宋体" w:hAnsi="宋体"/>
                                <w:sz w:val="21"/>
                                <w:szCs w:val="21"/>
                              </w:rPr>
                            </w:pPr>
                            <w:r>
                              <w:rPr>
                                <w:rFonts w:hint="eastAsia" w:ascii="宋体" w:hAnsi="宋体"/>
                                <w:sz w:val="21"/>
                                <w:szCs w:val="21"/>
                              </w:rPr>
                              <w:t>（产品监视和测量过程）</w:t>
                            </w:r>
                          </w:p>
                          <w:p w14:paraId="154662D1">
                            <w:pPr>
                              <w:rPr>
                                <w:rFonts w:ascii="宋体" w:hAnsi="宋体"/>
                                <w:sz w:val="21"/>
                                <w:szCs w:val="21"/>
                              </w:rPr>
                            </w:pPr>
                            <w:r>
                              <w:rPr>
                                <w:rFonts w:hint="eastAsia" w:ascii="宋体" w:hAnsi="宋体"/>
                                <w:sz w:val="21"/>
                                <w:szCs w:val="21"/>
                              </w:rPr>
                              <w:t>C7不合格输出的控制</w:t>
                            </w:r>
                          </w:p>
                          <w:p w14:paraId="1FA46211">
                            <w:pPr>
                              <w:rPr>
                                <w:rFonts w:ascii="宋体" w:hAnsi="宋体"/>
                                <w:sz w:val="21"/>
                                <w:szCs w:val="21"/>
                              </w:rPr>
                            </w:pPr>
                            <w:r>
                              <w:rPr>
                                <w:rFonts w:hint="eastAsia" w:ascii="宋体" w:hAnsi="宋体"/>
                                <w:sz w:val="21"/>
                                <w:szCs w:val="21"/>
                              </w:rPr>
                              <w:t>C8产品的放行与交付</w:t>
                            </w:r>
                          </w:p>
                          <w:p w14:paraId="121FC8A4">
                            <w:pPr>
                              <w:rPr>
                                <w:rFonts w:ascii="宋体" w:hAnsi="宋体"/>
                                <w:sz w:val="21"/>
                                <w:szCs w:val="21"/>
                              </w:rPr>
                            </w:pPr>
                            <w:r>
                              <w:rPr>
                                <w:rFonts w:hint="eastAsia" w:ascii="宋体" w:hAnsi="宋体"/>
                                <w:sz w:val="21"/>
                                <w:szCs w:val="21"/>
                              </w:rPr>
                              <w:t>C9交付后活动</w:t>
                            </w:r>
                          </w:p>
                          <w:p w14:paraId="7D7F6010">
                            <w:pPr>
                              <w:rPr>
                                <w:rFonts w:ascii="宋体" w:hAnsi="宋体"/>
                                <w:sz w:val="21"/>
                                <w:szCs w:val="21"/>
                              </w:rPr>
                            </w:pPr>
                            <w:r>
                              <w:rPr>
                                <w:rFonts w:hint="eastAsia" w:ascii="宋体" w:hAnsi="宋体"/>
                                <w:sz w:val="21"/>
                                <w:szCs w:val="21"/>
                              </w:rPr>
                              <w:t>S1资源管理过程</w:t>
                            </w:r>
                          </w:p>
                          <w:p w14:paraId="23CFD2DC">
                            <w:pPr>
                              <w:rPr>
                                <w:rFonts w:ascii="宋体" w:hAnsi="宋体"/>
                                <w:sz w:val="21"/>
                                <w:szCs w:val="21"/>
                              </w:rPr>
                            </w:pPr>
                            <w:r>
                              <w:rPr>
                                <w:rFonts w:hint="eastAsia" w:ascii="宋体" w:hAnsi="宋体"/>
                                <w:sz w:val="21"/>
                                <w:szCs w:val="21"/>
                              </w:rPr>
                              <w:t>S2能力、意识和沟通</w:t>
                            </w:r>
                          </w:p>
                          <w:p w14:paraId="3530BAED">
                            <w:pPr>
                              <w:rPr>
                                <w:rFonts w:ascii="宋体" w:hAnsi="宋体"/>
                                <w:sz w:val="21"/>
                                <w:szCs w:val="21"/>
                              </w:rPr>
                            </w:pPr>
                            <w:r>
                              <w:rPr>
                                <w:rFonts w:hint="eastAsia" w:ascii="宋体" w:hAnsi="宋体"/>
                                <w:sz w:val="21"/>
                                <w:szCs w:val="21"/>
                              </w:rPr>
                              <w:t>S3成文信息</w:t>
                            </w:r>
                          </w:p>
                          <w:p w14:paraId="0577BF0A">
                            <w:pPr>
                              <w:rPr>
                                <w:rFonts w:ascii="宋体" w:hAnsi="宋体"/>
                                <w:sz w:val="21"/>
                                <w:szCs w:val="21"/>
                              </w:rPr>
                            </w:pPr>
                            <w:r>
                              <w:rPr>
                                <w:rFonts w:hint="eastAsia" w:ascii="宋体" w:hAnsi="宋体"/>
                                <w:sz w:val="21"/>
                                <w:szCs w:val="21"/>
                              </w:rPr>
                              <w:t>S4质量信息管理</w:t>
                            </w:r>
                          </w:p>
                        </w:txbxContent>
                      </wps:txbx>
                      <wps:bodyPr upright="1"/>
                    </wps:wsp>
                  </a:graphicData>
                </a:graphic>
              </wp:anchor>
            </w:drawing>
          </mc:Choice>
          <mc:Fallback>
            <w:pict>
              <v:shape id="文本框 2" o:spid="_x0000_s1026" o:spt="202" type="#_x0000_t202" style="position:absolute;left:0pt;margin-left:305.25pt;margin-top:13.1pt;height:220.5pt;width:140.7pt;z-index:251696128;mso-width-relative:page;mso-height-relative:page;" fillcolor="#FFFFFF" filled="t" stroked="t" coordsize="21600,21600" o:gfxdata="UEsDBAoAAAAAAIdO4kAAAAAAAAAAAAAAAAAEAAAAZHJzL1BLAwQUAAAACACHTuJAvqqenNoAAAAK&#10;AQAADwAAAGRycy9kb3ducmV2LnhtbE2PwU7DMBBE70j8g7VIXBC1E4qbhGx6QALBrRQEVzfeJhGx&#10;HWw3LX+POcFxNU8zb+v1yYxsJh8GZxGyhQBGtnV6sB3C2+vDdQEsRGW1Gp0lhG8KsG7Oz2pVaXe0&#10;LzRvY8dSiQ2VQuhjnCrOQ9uTUWHhJrIp2ztvVEyn77j26pjKzchzISQ3arBpoVcT3ffUfm4PBqFY&#10;Ps0f4flm897K/VjGq9X8+OURLy8ycQcs0in+wfCrn9ShSU47d7A6sBFBZuI2oQi5zIEloCizEtgO&#10;YSlXOfCm5v9faH4AUEsDBBQAAAAIAIdO4kAkiJ5aDgIAADgEAAAOAAAAZHJzL2Uyb0RvYy54bWyt&#10;U82O0zAQviPxDpbvNNmsWrpR05WglAsCpIUHcG0nseQ/edwmfQF4A05cuPNcfQ7Gbrf7A4ceyMEZ&#10;e2Y+z/fNeHE7Gk12MoBytqFXk5ISabkTynYN/fpl/WpOCURmBdPOyobuJdDb5csXi8HXsnK900IG&#10;giAW6sE3tI/R10UBvJeGwcR5adHZumBYxG3oChHYgOhGF1VZzorBBeGD4xIAT1dHJz0hhksAXdsq&#10;LleOb4208YgapGYRKUGvPNBlrrZtJY+f2hZkJLqhyDTmFS9Be5PWYrlgdReY7xU/lcAuKeEZJ8OU&#10;xUvPUCsWGdkG9ReUUTw4cG2ccGeKI5GsCLK4Kp9pc9czLzMXlBr8WXT4f7D84+5zIEo09HpGiWUG&#10;O3748f3w8/fh1zdSJX0GDzWG3XkMjOMbN+LU3J8DHibaYxtM+iMhgn5Ud39WV46R8JT0ej6b36CL&#10;o6+al+X1NOtfPKT7APG9dIYko6EB25dVZbsPELEUDL0PSbeB00qsldZ5E7rNWx3IjmGr1/lLVWLK&#10;kzBtydDQm2k1xUIYzm+Lc4Om8agB2C7f9yQDHgOX+fsXcCpsxaA/FpARUhirjYoyZKuXTLyzgsS9&#10;R5ktPi+aijFSUKIlvsZk5cjIlL4kEtlpiyRTj469SFYcNyPCJHPjxB77tvVBdT1KmjuXw3Ggsjqn&#10;4U8T+3ifQR8e/P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qqenNoAAAAKAQAADwAAAAAAAAAB&#10;ACAAAAAiAAAAZHJzL2Rvd25yZXYueG1sUEsBAhQAFAAAAAgAh07iQCSInloOAgAAOAQAAA4AAAAA&#10;AAAAAQAgAAAAKQEAAGRycy9lMm9Eb2MueG1sUEsFBgAAAAAGAAYAWQEAAKkFAAAAAA==&#10;">
                <v:fill on="t" focussize="0,0"/>
                <v:stroke color="#000000" joinstyle="miter"/>
                <v:imagedata o:title=""/>
                <o:lock v:ext="edit" aspectratio="f"/>
                <v:textbox>
                  <w:txbxContent>
                    <w:p w14:paraId="40399DD0">
                      <w:pPr>
                        <w:rPr>
                          <w:rFonts w:ascii="宋体" w:hAnsi="宋体"/>
                          <w:sz w:val="21"/>
                          <w:szCs w:val="21"/>
                        </w:rPr>
                      </w:pPr>
                      <w:r>
                        <w:rPr>
                          <w:rFonts w:hint="eastAsia" w:ascii="宋体" w:hAnsi="宋体"/>
                          <w:sz w:val="21"/>
                          <w:szCs w:val="21"/>
                        </w:rPr>
                        <w:t>C1产品和服务要求的确定</w:t>
                      </w:r>
                    </w:p>
                    <w:p w14:paraId="7C955153">
                      <w:pPr>
                        <w:rPr>
                          <w:rFonts w:ascii="宋体" w:hAnsi="宋体"/>
                          <w:sz w:val="21"/>
                          <w:szCs w:val="21"/>
                        </w:rPr>
                      </w:pPr>
                      <w:r>
                        <w:rPr>
                          <w:rFonts w:hint="eastAsia" w:ascii="宋体" w:hAnsi="宋体"/>
                          <w:sz w:val="21"/>
                          <w:szCs w:val="21"/>
                        </w:rPr>
                        <w:t>C2运行策划过程</w:t>
                      </w:r>
                    </w:p>
                    <w:p w14:paraId="7C3CA6D6">
                      <w:pPr>
                        <w:rPr>
                          <w:rFonts w:ascii="宋体" w:hAnsi="宋体"/>
                          <w:sz w:val="21"/>
                          <w:szCs w:val="21"/>
                        </w:rPr>
                      </w:pPr>
                      <w:r>
                        <w:rPr>
                          <w:rFonts w:hint="eastAsia" w:ascii="宋体" w:hAnsi="宋体"/>
                          <w:sz w:val="21"/>
                          <w:szCs w:val="21"/>
                        </w:rPr>
                        <w:t>C3产品和服务的设计开发</w:t>
                      </w:r>
                    </w:p>
                    <w:p w14:paraId="0DFC3C87">
                      <w:pPr>
                        <w:rPr>
                          <w:rFonts w:ascii="宋体" w:hAnsi="宋体"/>
                          <w:sz w:val="21"/>
                          <w:szCs w:val="21"/>
                        </w:rPr>
                      </w:pPr>
                      <w:r>
                        <w:rPr>
                          <w:rFonts w:hint="eastAsia" w:ascii="宋体" w:hAnsi="宋体"/>
                          <w:sz w:val="21"/>
                          <w:szCs w:val="21"/>
                        </w:rPr>
                        <w:t>C4外部提供的过程、产品和服务的控制</w:t>
                      </w:r>
                    </w:p>
                    <w:p w14:paraId="587E4CC7">
                      <w:pPr>
                        <w:rPr>
                          <w:rFonts w:ascii="宋体" w:hAnsi="宋体"/>
                          <w:sz w:val="21"/>
                          <w:szCs w:val="21"/>
                        </w:rPr>
                      </w:pPr>
                      <w:r>
                        <w:rPr>
                          <w:rFonts w:hint="eastAsia" w:ascii="宋体" w:hAnsi="宋体"/>
                          <w:sz w:val="21"/>
                          <w:szCs w:val="21"/>
                        </w:rPr>
                        <w:t>C5生产和服务提供</w:t>
                      </w:r>
                    </w:p>
                    <w:p w14:paraId="7DD18ADC">
                      <w:pPr>
                        <w:rPr>
                          <w:rFonts w:ascii="宋体" w:hAnsi="宋体"/>
                          <w:sz w:val="21"/>
                          <w:szCs w:val="21"/>
                        </w:rPr>
                      </w:pPr>
                      <w:r>
                        <w:rPr>
                          <w:rFonts w:hint="eastAsia" w:ascii="宋体" w:hAnsi="宋体"/>
                          <w:sz w:val="21"/>
                          <w:szCs w:val="21"/>
                        </w:rPr>
                        <w:t>C6产品和服务放行</w:t>
                      </w:r>
                    </w:p>
                    <w:p w14:paraId="39BE3955">
                      <w:pPr>
                        <w:rPr>
                          <w:rFonts w:ascii="宋体" w:hAnsi="宋体"/>
                          <w:sz w:val="21"/>
                          <w:szCs w:val="21"/>
                        </w:rPr>
                      </w:pPr>
                      <w:r>
                        <w:rPr>
                          <w:rFonts w:hint="eastAsia" w:ascii="宋体" w:hAnsi="宋体"/>
                          <w:sz w:val="21"/>
                          <w:szCs w:val="21"/>
                        </w:rPr>
                        <w:t>（产品监视和测量过程）</w:t>
                      </w:r>
                    </w:p>
                    <w:p w14:paraId="154662D1">
                      <w:pPr>
                        <w:rPr>
                          <w:rFonts w:ascii="宋体" w:hAnsi="宋体"/>
                          <w:sz w:val="21"/>
                          <w:szCs w:val="21"/>
                        </w:rPr>
                      </w:pPr>
                      <w:r>
                        <w:rPr>
                          <w:rFonts w:hint="eastAsia" w:ascii="宋体" w:hAnsi="宋体"/>
                          <w:sz w:val="21"/>
                          <w:szCs w:val="21"/>
                        </w:rPr>
                        <w:t>C7不合格输出的控制</w:t>
                      </w:r>
                    </w:p>
                    <w:p w14:paraId="1FA46211">
                      <w:pPr>
                        <w:rPr>
                          <w:rFonts w:ascii="宋体" w:hAnsi="宋体"/>
                          <w:sz w:val="21"/>
                          <w:szCs w:val="21"/>
                        </w:rPr>
                      </w:pPr>
                      <w:r>
                        <w:rPr>
                          <w:rFonts w:hint="eastAsia" w:ascii="宋体" w:hAnsi="宋体"/>
                          <w:sz w:val="21"/>
                          <w:szCs w:val="21"/>
                        </w:rPr>
                        <w:t>C8产品的放行与交付</w:t>
                      </w:r>
                    </w:p>
                    <w:p w14:paraId="121FC8A4">
                      <w:pPr>
                        <w:rPr>
                          <w:rFonts w:ascii="宋体" w:hAnsi="宋体"/>
                          <w:sz w:val="21"/>
                          <w:szCs w:val="21"/>
                        </w:rPr>
                      </w:pPr>
                      <w:r>
                        <w:rPr>
                          <w:rFonts w:hint="eastAsia" w:ascii="宋体" w:hAnsi="宋体"/>
                          <w:sz w:val="21"/>
                          <w:szCs w:val="21"/>
                        </w:rPr>
                        <w:t>C9交付后活动</w:t>
                      </w:r>
                    </w:p>
                    <w:p w14:paraId="7D7F6010">
                      <w:pPr>
                        <w:rPr>
                          <w:rFonts w:ascii="宋体" w:hAnsi="宋体"/>
                          <w:sz w:val="21"/>
                          <w:szCs w:val="21"/>
                        </w:rPr>
                      </w:pPr>
                      <w:r>
                        <w:rPr>
                          <w:rFonts w:hint="eastAsia" w:ascii="宋体" w:hAnsi="宋体"/>
                          <w:sz w:val="21"/>
                          <w:szCs w:val="21"/>
                        </w:rPr>
                        <w:t>S1资源管理过程</w:t>
                      </w:r>
                    </w:p>
                    <w:p w14:paraId="23CFD2DC">
                      <w:pPr>
                        <w:rPr>
                          <w:rFonts w:ascii="宋体" w:hAnsi="宋体"/>
                          <w:sz w:val="21"/>
                          <w:szCs w:val="21"/>
                        </w:rPr>
                      </w:pPr>
                      <w:r>
                        <w:rPr>
                          <w:rFonts w:hint="eastAsia" w:ascii="宋体" w:hAnsi="宋体"/>
                          <w:sz w:val="21"/>
                          <w:szCs w:val="21"/>
                        </w:rPr>
                        <w:t>S2能力、意识和沟通</w:t>
                      </w:r>
                    </w:p>
                    <w:p w14:paraId="3530BAED">
                      <w:pPr>
                        <w:rPr>
                          <w:rFonts w:ascii="宋体" w:hAnsi="宋体"/>
                          <w:sz w:val="21"/>
                          <w:szCs w:val="21"/>
                        </w:rPr>
                      </w:pPr>
                      <w:r>
                        <w:rPr>
                          <w:rFonts w:hint="eastAsia" w:ascii="宋体" w:hAnsi="宋体"/>
                          <w:sz w:val="21"/>
                          <w:szCs w:val="21"/>
                        </w:rPr>
                        <w:t>S3成文信息</w:t>
                      </w:r>
                    </w:p>
                    <w:p w14:paraId="0577BF0A">
                      <w:pPr>
                        <w:rPr>
                          <w:rFonts w:ascii="宋体" w:hAnsi="宋体"/>
                          <w:sz w:val="21"/>
                          <w:szCs w:val="21"/>
                        </w:rPr>
                      </w:pPr>
                      <w:r>
                        <w:rPr>
                          <w:rFonts w:hint="eastAsia" w:ascii="宋体" w:hAnsi="宋体"/>
                          <w:sz w:val="21"/>
                          <w:szCs w:val="21"/>
                        </w:rPr>
                        <w:t>S4质量信息管理</w:t>
                      </w:r>
                    </w:p>
                  </w:txbxContent>
                </v:textbox>
              </v:shape>
            </w:pict>
          </mc:Fallback>
        </mc:AlternateContent>
      </w:r>
    </w:p>
    <w:p w14:paraId="402490B9">
      <w:pPr>
        <w:spacing w:line="560" w:lineRule="exact"/>
        <w:rPr>
          <w:rFonts w:ascii="宋体" w:hAnsi="宋体"/>
          <w:color w:val="FF0000"/>
          <w:sz w:val="21"/>
          <w:szCs w:val="21"/>
        </w:rPr>
      </w:pPr>
    </w:p>
    <w:p w14:paraId="117131ED">
      <w:pPr>
        <w:spacing w:line="560" w:lineRule="exact"/>
        <w:rPr>
          <w:rFonts w:ascii="宋体" w:hAnsi="宋体"/>
          <w:color w:val="FF0000"/>
          <w:sz w:val="21"/>
          <w:szCs w:val="21"/>
        </w:rPr>
      </w:pPr>
    </w:p>
    <w:p w14:paraId="5BB475AA">
      <w:pPr>
        <w:spacing w:line="560" w:lineRule="exact"/>
        <w:rPr>
          <w:rFonts w:ascii="宋体" w:hAnsi="宋体"/>
          <w:color w:val="FF0000"/>
          <w:sz w:val="21"/>
          <w:szCs w:val="21"/>
        </w:rPr>
      </w:pPr>
    </w:p>
    <w:p w14:paraId="0F64C6FB">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5104" behindDoc="0" locked="0" layoutInCell="1" allowOverlap="1">
                <wp:simplePos x="0" y="0"/>
                <wp:positionH relativeFrom="column">
                  <wp:posOffset>288925</wp:posOffset>
                </wp:positionH>
                <wp:positionV relativeFrom="paragraph">
                  <wp:posOffset>318770</wp:posOffset>
                </wp:positionV>
                <wp:extent cx="1333500" cy="935990"/>
                <wp:effectExtent l="4445" t="4445" r="14605" b="12065"/>
                <wp:wrapNone/>
                <wp:docPr id="35" name="文本框 3"/>
                <wp:cNvGraphicFramePr/>
                <a:graphic xmlns:a="http://schemas.openxmlformats.org/drawingml/2006/main">
                  <a:graphicData uri="http://schemas.microsoft.com/office/word/2010/wordprocessingShape">
                    <wps:wsp>
                      <wps:cNvSpPr txBox="1"/>
                      <wps:spPr>
                        <a:xfrm>
                          <a:off x="0" y="0"/>
                          <a:ext cx="1333500" cy="935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E75569">
                            <w:pPr>
                              <w:rPr>
                                <w:rFonts w:ascii="宋体" w:hAnsi="宋体"/>
                                <w:sz w:val="21"/>
                                <w:szCs w:val="21"/>
                              </w:rPr>
                            </w:pPr>
                            <w:r>
                              <w:rPr>
                                <w:rFonts w:hint="eastAsia" w:ascii="宋体" w:hAnsi="宋体"/>
                                <w:sz w:val="21"/>
                                <w:szCs w:val="21"/>
                              </w:rPr>
                              <w:t>M1风险和机遇的应对措施及运行策划</w:t>
                            </w:r>
                          </w:p>
                          <w:p w14:paraId="386425F4">
                            <w:pPr>
                              <w:rPr>
                                <w:rFonts w:ascii="宋体" w:hAnsi="宋体"/>
                                <w:sz w:val="21"/>
                                <w:szCs w:val="21"/>
                              </w:rPr>
                            </w:pPr>
                            <w:r>
                              <w:rPr>
                                <w:rFonts w:hint="eastAsia" w:ascii="宋体" w:hAnsi="宋体"/>
                                <w:sz w:val="21"/>
                                <w:szCs w:val="21"/>
                              </w:rPr>
                              <w:t>M2质量目标及其实施的策划</w:t>
                            </w:r>
                          </w:p>
                        </w:txbxContent>
                      </wps:txbx>
                      <wps:bodyPr upright="1"/>
                    </wps:wsp>
                  </a:graphicData>
                </a:graphic>
              </wp:anchor>
            </w:drawing>
          </mc:Choice>
          <mc:Fallback>
            <w:pict>
              <v:shape id="文本框 3" o:spid="_x0000_s1026" o:spt="202" type="#_x0000_t202" style="position:absolute;left:0pt;margin-left:22.75pt;margin-top:25.1pt;height:73.7pt;width:105pt;z-index:251695104;mso-width-relative:page;mso-height-relative:page;" fillcolor="#FFFFFF" filled="t" stroked="t" coordsize="21600,21600" o:gfxdata="UEsDBAoAAAAAAIdO4kAAAAAAAAAAAAAAAAAEAAAAZHJzL1BLAwQUAAAACACHTuJAGmXW1dgAAAAJ&#10;AQAADwAAAGRycy9kb3ducmV2LnhtbE2Py07DMBBF90j8gzVIbBC1G5q0DXG6QALBrpSqbN14mkT4&#10;EWw3LX/PdAXLmXt050y1OlvDRgyx907CdCKAoWu87l0rYfvxfL8AFpNyWhnvUMIPRljV11eVKrU/&#10;uXccN6llVOJiqSR0KQ0l57Hp0Ko48QM6yg4+WJVoDC3XQZ2o3BqeCVFwq3pHFzo14FOHzdfmaCUs&#10;Zq/jZ3x7WO+a4mCW6W4+vnwHKW9vpuIRWMJz+oPhok/qUJPT3h+djsxImOU5kRJykQGjPMsviz2B&#10;y3kBvK74/w/qX1BLAwQUAAAACACHTuJAc4nn3gwCAAA3BAAADgAAAGRycy9lMm9Eb2MueG1srVPN&#10;jtMwEL4j8Q6W7zTZRkU0aroSlHJBgLTLA7i2k1jynzxuk74AvAEnLtx5rj4HY7fb/WEPPWwOztgz&#10;/ma+b8aL69FospMBlLMNvZqUlEjLnVC2a+j32/Wbd5RAZFYw7axs6F4CvV6+frUYfC2nrndayEAQ&#10;xEI9+Ib2Mfq6KID30jCYOC8tOlsXDIu4DV0hAhsQ3ehiWpZvi8EF4YPjEgBPV0cnPSGGSwBd2you&#10;V45vjbTxiBqkZhEpQa880GWutm0lj1/bFmQkuqHINOYVk6C9SWuxXLC6C8z3ip9KYJeU8ISTYcpi&#10;0jPUikVGtkH9B2UUDw5cGyfcmeJIJCuCLK7KJ9rc9MzLzAWlBn8WHV4Oln/ZfQtEiYZWM0osM9jx&#10;w6+fh99/D39+kCrpM3ioMezGY2Ac37sRp+buHPAw0R7bYNIfCRH0o7r7s7pyjISnS1VVzUp0cfTN&#10;q9l8nuUv7m/7APGTdIYko6EBu5dFZbvPELESDL0LScnAaSXWSuu8Cd3mgw5kx7DT6/ylIvHKozBt&#10;yYDZZ1NkyxmOb4tjg6bxKAHYLud7dAMeApf5ew44FbZi0B8LyAgpjNVGRRmy1UsmPlpB4t6jyhZf&#10;F03FGCko0RIfY7JyZGRKXxKJ7LRFkqlFx1YkK46bEWGSuXFij23b+qC6HiXNjcvhOE9ZndPsp4F9&#10;uM+g9+9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ZdbV2AAAAAkBAAAPAAAAAAAAAAEAIAAA&#10;ACIAAABkcnMvZG93bnJldi54bWxQSwECFAAUAAAACACHTuJAc4nn3gwCAAA3BAAADgAAAAAAAAAB&#10;ACAAAAAnAQAAZHJzL2Uyb0RvYy54bWxQSwUGAAAAAAYABgBZAQAApQUAAAAA&#10;">
                <v:fill on="t" focussize="0,0"/>
                <v:stroke color="#000000" joinstyle="miter"/>
                <v:imagedata o:title=""/>
                <o:lock v:ext="edit" aspectratio="f"/>
                <v:textbox>
                  <w:txbxContent>
                    <w:p w14:paraId="1DE75569">
                      <w:pPr>
                        <w:rPr>
                          <w:rFonts w:ascii="宋体" w:hAnsi="宋体"/>
                          <w:sz w:val="21"/>
                          <w:szCs w:val="21"/>
                        </w:rPr>
                      </w:pPr>
                      <w:r>
                        <w:rPr>
                          <w:rFonts w:hint="eastAsia" w:ascii="宋体" w:hAnsi="宋体"/>
                          <w:sz w:val="21"/>
                          <w:szCs w:val="21"/>
                        </w:rPr>
                        <w:t>M1风险和机遇的应对措施及运行策划</w:t>
                      </w:r>
                    </w:p>
                    <w:p w14:paraId="386425F4">
                      <w:pPr>
                        <w:rPr>
                          <w:rFonts w:ascii="宋体" w:hAnsi="宋体"/>
                          <w:sz w:val="21"/>
                          <w:szCs w:val="21"/>
                        </w:rPr>
                      </w:pPr>
                      <w:r>
                        <w:rPr>
                          <w:rFonts w:hint="eastAsia" w:ascii="宋体" w:hAnsi="宋体"/>
                          <w:sz w:val="21"/>
                          <w:szCs w:val="21"/>
                        </w:rPr>
                        <w:t>M2质量目标及其实施的策划</w:t>
                      </w:r>
                    </w:p>
                  </w:txbxContent>
                </v:textbox>
              </v:shape>
            </w:pict>
          </mc:Fallback>
        </mc:AlternateContent>
      </w:r>
    </w:p>
    <w:p w14:paraId="370B349E">
      <w:pPr>
        <w:spacing w:line="560" w:lineRule="exact"/>
        <w:rPr>
          <w:rFonts w:ascii="宋体" w:hAnsi="宋体"/>
          <w:color w:val="FF0000"/>
          <w:sz w:val="21"/>
          <w:szCs w:val="21"/>
        </w:rPr>
      </w:pPr>
    </w:p>
    <w:p w14:paraId="74A41880">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98176" behindDoc="0" locked="0" layoutInCell="1" allowOverlap="1">
                <wp:simplePos x="0" y="0"/>
                <wp:positionH relativeFrom="column">
                  <wp:posOffset>2897505</wp:posOffset>
                </wp:positionH>
                <wp:positionV relativeFrom="paragraph">
                  <wp:posOffset>350520</wp:posOffset>
                </wp:positionV>
                <wp:extent cx="979170" cy="1003300"/>
                <wp:effectExtent l="0" t="0" r="11430" b="6350"/>
                <wp:wrapNone/>
                <wp:docPr id="63" name="自选图形 340"/>
                <wp:cNvGraphicFramePr/>
                <a:graphic xmlns:a="http://schemas.openxmlformats.org/drawingml/2006/main">
                  <a:graphicData uri="http://schemas.microsoft.com/office/word/2010/wordprocessingShape">
                    <wps:wsp>
                      <wps:cNvCnPr/>
                      <wps:spPr>
                        <a:xfrm flipH="1">
                          <a:off x="0" y="0"/>
                          <a:ext cx="979170" cy="100330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0" o:spid="_x0000_s1026" o:spt="32" type="#_x0000_t32" style="position:absolute;left:0pt;flip:x;margin-left:228.15pt;margin-top:27.6pt;height:79pt;width:77.1pt;z-index:251698176;mso-width-relative:page;mso-height-relative:page;" filled="f" stroked="t" coordsize="21600,21600" o:gfxdata="UEsDBAoAAAAAAIdO4kAAAAAAAAAAAAAAAAAEAAAAZHJzL1BLAwQUAAAACACHTuJA8GAy9NgAAAAK&#10;AQAADwAAAGRycy9kb3ducmV2LnhtbE2PwU7DMBBE70j8g7VIXBC1kzYRCtn0UCkSRygFrm6yJBHx&#10;OsRu3P495gTH1TzNvC23ZzOKhWY3WEZIVgoEcWPbgTuEw2t9/wDCec2tHi0TwoUcbKvrq1IXrQ38&#10;QsvedyKWsCs0Qu/9VEjpmp6Mdis7Ecfs085G+3jOnWxnHWK5GWWqVC6NHjgu9HqiXU/N1/5kEEL+&#10;vfuonyU/Bfe+vF2ou9vUAfH2JlGPIDyd/R8Mv/pRHarodLQnbp0YETZZvo4oQpalICKQJyoDcURI&#10;k3UKsirl/xeqH1BLAwQUAAAACACHTuJAEzVpSgUCAAD+AwAADgAAAGRycy9lMm9Eb2MueG1srVNL&#10;jhMxEN0jcQfLe9KdCZpPK51ZJAwsEEQCDuD4023JP7k86WTHDnEGdiy5A3ObkeAWlN0hA8MmC3rR&#10;Krtcr149P8+vd9aQrYygvWvpdFJTIh33QruupR/e3zy7pAQSc4IZ72RL9xLo9eLpk/kQGnnme2+E&#10;jARBHDRDaGmfUmiqCngvLYOJD9JhUvloWcJl7CoR2YDo1lRndX1eDT6KED2XALi7GpP0gBhPAfRK&#10;aS5Xnt9a6dKIGqVhCUeCXgegi8JWKcnTW6VAJmJaipOm8scmGG/yv1rMWdNFFnrNDxTYKRQezWSZ&#10;dtj0CLViiZHbqP+BsppHD16lCfe2GgcpiuAU0/qRNu96FmSZBaWGcBQd/h8sf7NdR6JFS89nlDhm&#10;8cZ/fPr28+Pn+y9399+/ktnzItIQoMGzS7eOKFleQVjHPPFORUuU0eEVuqlogFORXZF4f5RY7hLh&#10;uHl1cTW9QPE5pqZ1PZvVBb4acTJeiJBeSm9JDloKKTLd9WnpncPb9HHswbavISETLPxdkIuNI0NL&#10;Z5cIjT0Y2lOhLTC0AUcE1xWC4I0WN9qYXAKx2yxNJFuWLVK+7AoE/utY7rJi0I/nSmo0Ty+ZeOEE&#10;SfuA2qWomeuMpJmHlYISI/GZ5ahYLTFtTj2NFIxDJg9q52jjxb5cQtlHWxSuBwtn3/25LtUPz3b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BgMvTYAAAACgEAAA8AAAAAAAAAAQAgAAAAIgAAAGRy&#10;cy9kb3ducmV2LnhtbFBLAQIUABQAAAAIAIdO4kATNWlKBQIAAP4DAAAOAAAAAAAAAAEAIAAAACcB&#10;AABkcnMvZTJvRG9jLnhtbFBLBQYAAAAABgAGAFkBAACeBQAAAAA=&#10;">
                <v:fill on="f" focussize="0,0"/>
                <v:stroke weight="3pt" color="#000000" joinstyle="round" startarrow="block" endarrow="block"/>
                <v:imagedata o:title=""/>
                <o:lock v:ext="edit" aspectratio="f"/>
              </v:shape>
            </w:pict>
          </mc:Fallback>
        </mc:AlternateContent>
      </w:r>
    </w:p>
    <w:p w14:paraId="56862D88">
      <w:pPr>
        <w:spacing w:line="560" w:lineRule="exact"/>
        <w:rPr>
          <w:rFonts w:ascii="宋体" w:hAnsi="宋体"/>
          <w:color w:val="FF0000"/>
          <w:sz w:val="21"/>
          <w:szCs w:val="21"/>
        </w:rPr>
      </w:pPr>
      <w:r>
        <w:rPr>
          <w:rFonts w:ascii="宋体" w:cs="宋体"/>
          <w:color w:val="FF0000"/>
          <w:sz w:val="21"/>
          <w:szCs w:val="21"/>
        </w:rPr>
        <mc:AlternateContent>
          <mc:Choice Requires="wps">
            <w:drawing>
              <wp:anchor distT="0" distB="0" distL="114300" distR="114300" simplePos="0" relativeHeight="251697152" behindDoc="0" locked="0" layoutInCell="1" allowOverlap="1">
                <wp:simplePos x="0" y="0"/>
                <wp:positionH relativeFrom="column">
                  <wp:posOffset>906780</wp:posOffset>
                </wp:positionH>
                <wp:positionV relativeFrom="paragraph">
                  <wp:posOffset>243840</wp:posOffset>
                </wp:positionV>
                <wp:extent cx="476250" cy="1730375"/>
                <wp:effectExtent l="24765" t="0" r="32385" b="3175"/>
                <wp:wrapNone/>
                <wp:docPr id="37" name="自选图形 5"/>
                <wp:cNvGraphicFramePr/>
                <a:graphic xmlns:a="http://schemas.openxmlformats.org/drawingml/2006/main">
                  <a:graphicData uri="http://schemas.microsoft.com/office/word/2010/wordprocessingShape">
                    <wps:wsp>
                      <wps:cNvCnPr/>
                      <wps:spPr>
                        <a:xfrm>
                          <a:off x="0" y="0"/>
                          <a:ext cx="476250" cy="1730375"/>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5" o:spid="_x0000_s1026" o:spt="32" type="#_x0000_t32" style="position:absolute;left:0pt;margin-left:71.4pt;margin-top:19.2pt;height:136.25pt;width:37.5pt;z-index:251697152;mso-width-relative:page;mso-height-relative:page;" filled="f" stroked="t" coordsize="21600,21600" o:gfxdata="UEsDBAoAAAAAAIdO4kAAAAAAAAAAAAAAAAAEAAAAZHJzL1BLAwQUAAAACACHTuJArpeZatgAAAAK&#10;AQAADwAAAGRycy9kb3ducmV2LnhtbE2PwU7DMBBE70j8g7VI3KidUKANcSqBhJAQQlD6AW68JBGx&#10;HexNm/D1LCc4zuxo9k25mVwvDhhTF7yGbKFAoK+D7XyjYff+cLECkch4a/rgUcOMCTbV6UlpChuO&#10;/g0PW2oEl/hUGA0t0VBImeoWnUmLMKDn20eIzhDL2EgbzZHLXS9zpa6lM53nD60Z8L7F+nM7Og30&#10;PHf9092Vit+P6et1mMeJ1IvW52eZugVBONFfGH7xGR0qZtqH0dsketbLnNFJw+VqCYIDeXbDxp6N&#10;TK1BVqX8P6H6AVBLAwQUAAAACACHTuJATZxduv4BAADyAwAADgAAAGRycy9lMm9Eb2MueG1srVPN&#10;jtMwEL4j8Q6W7zRpy25XUdM9tCwXBJWAB5g6TmLJf/J4m/bGDfEM3DjyDvA2K8FbMHbKLiyXHsjB&#10;GXtmvpnv83h5fTCa7WVA5WzNp5OSM2mFa5Ttav7+3c2zK84wgm1AOytrfpTIr1dPnywHX8mZ651u&#10;ZGAEYrEafM37GH1VFCh6aQAnzktLztYFA5G2oSuaAAOhG13MyvKyGFxofHBCItLpZnTyE2I4B9C1&#10;rRJy48StkTaOqEFqiEQJe+WRr3K3bStFfNO2KCPTNSemMa9UhOxdWovVEqougO+VOLUA57TwiJMB&#10;ZanoPdQGIrDboP6BMkoEh66NE+FMMRLJihCLaflIm7c9eJm5kNTo70XH/wcrXu+3gamm5vMFZxYM&#10;3fiPj19/fvh09/n73bcv7CJJNHisKHJtt+G0Q78Nie+hDSb9iQk7ZFmP97LKQ2SCDp8vLmcXJLgg&#10;13QxL+eLDFo8ZPuA8aV0hiWj5hgDqK6Pa2ct3aAL06wt7F9hpPqU+DshldaWDdT+1bRMNYBGsqVR&#10;INN4ooW2y8notGpulNYpBUO3W+vA9pDGIn+JJgH/FZaqbAD7MS67xoHpJTQvbMPi0ZNeMSiwnZY8&#10;9WFkw5mW9LSSRaBQRVD63GhqQVvqJCk+apysnWuOWfp8TqOQez2NbZq1P/c5++Gp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peZatgAAAAKAQAADwAAAAAAAAABACAAAAAiAAAAZHJzL2Rvd25y&#10;ZXYueG1sUEsBAhQAFAAAAAgAh07iQE2cXbr+AQAA8gMAAA4AAAAAAAAAAQAgAAAAJwEAAGRycy9l&#10;Mm9Eb2MueG1sUEsFBgAAAAAGAAYAWQEAAJcFAAAAAA==&#10;">
                <v:fill on="f" focussize="0,0"/>
                <v:stroke weight="3pt" color="#000000" joinstyle="round" startarrow="block" endarrow="block"/>
                <v:imagedata o:title=""/>
                <o:lock v:ext="edit" aspectratio="f"/>
              </v:shape>
            </w:pict>
          </mc:Fallback>
        </mc:AlternateContent>
      </w:r>
      <w:r>
        <w:rPr>
          <w:rFonts w:hint="eastAsia" w:ascii="宋体" w:hAnsi="宋体"/>
          <w:color w:val="FF0000"/>
          <w:sz w:val="21"/>
          <w:szCs w:val="21"/>
        </w:rPr>
        <w:t xml:space="preserve">                                          </w:t>
      </w:r>
    </w:p>
    <w:p w14:paraId="73ECFC8A">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59264" behindDoc="1" locked="0" layoutInCell="1" allowOverlap="1">
                <wp:simplePos x="0" y="0"/>
                <wp:positionH relativeFrom="column">
                  <wp:posOffset>821055</wp:posOffset>
                </wp:positionH>
                <wp:positionV relativeFrom="paragraph">
                  <wp:posOffset>161290</wp:posOffset>
                </wp:positionV>
                <wp:extent cx="3743325" cy="3543300"/>
                <wp:effectExtent l="5080" t="4445" r="4445" b="14605"/>
                <wp:wrapNone/>
                <wp:docPr id="1" name="自选图形 6"/>
                <wp:cNvGraphicFramePr/>
                <a:graphic xmlns:a="http://schemas.openxmlformats.org/drawingml/2006/main">
                  <a:graphicData uri="http://schemas.microsoft.com/office/word/2010/wordprocessingShape">
                    <wps:wsp>
                      <wps:cNvSpPr/>
                      <wps:spPr>
                        <a:xfrm>
                          <a:off x="0" y="0"/>
                          <a:ext cx="3743325" cy="35433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自选图形 6" o:spid="_x0000_s1026" o:spt="2" style="position:absolute;left:0pt;margin-left:64.65pt;margin-top:12.7pt;height:279pt;width:294.75pt;z-index:-251657216;mso-width-relative:page;mso-height-relative:page;" fillcolor="#FFFFFF" filled="t" stroked="t" coordsize="21600,21600" arcsize="0.166666666666667" o:gfxdata="UEsDBAoAAAAAAIdO4kAAAAAAAAAAAAAAAAAEAAAAZHJzL1BLAwQUAAAACACHTuJAfJiZB9YAAAAK&#10;AQAADwAAAGRycy9kb3ducmV2LnhtbE2PQU+EMBCF7yb+h2ZMvLkt7KIsUvZgolcjevBY6AhEOmVp&#10;YVd/veNJjy/z5c33ysPZjWLFOQyeNCQbBQKp9XagTsPb6+NNDiJEQ9aMnlDDFwY4VJcXpSmsP9EL&#10;rnXsBJdQKIyGPsapkDK0PToTNn5C4tuHn52JHOdO2tmcuNyNMlXqVjozEH/ozYQPPbaf9eI0tFYt&#10;an5fn/dNFuvvdTmSfDpqfX2VqHsQEc/xD4ZffVaHip0av5ANYuSc7reMakizHQgG7pKctzQasny7&#10;A1mV8v+E6gdQSwMEFAAAAAgAh07iQMuWNb0cAgAATAQAAA4AAABkcnMvZTJvRG9jLnhtbK1US5LT&#10;MBDdU8UdVNozdhKSAVecWRDChoIpBg6gSLItSr9SK3GyY0dxBnYs5w5wm6mCW9BSTOYDiyzQwu6W&#10;up9fv255frEzmmxlAOVsTUdnJSXScieUbWv64f3qyTNKIDIrmHZW1nQvgV4sHj+a976SY9c5LWQg&#10;CGKh6n1Nuxh9VRTAO2kYnDkvLR42LhgW0Q1tIQLrEd3oYlyWs6J3QfjguATA3eXhkA6I4RRA1zSK&#10;y6XjGyNtPKAGqVnEkqBTHugis20ayePbpgEZia4pVhrzEz+C9jo9i8WcVW1gvlN8oMBOofCgJsOU&#10;xY8eoZYsMrIJ6i8oo3hw4Jp4xp0pDoVkRbCKUflAm6uOeZlrQanBH0WH/wfL32wvA1ECJ4ESyww2&#10;/Ofn61+fvtx8/XHz/RuZJYV6DxUGXvnLMHiAZip31wST3lgI2WVV90dV5S4SjpuT86eTyXhKCcez&#10;yRSdMute3Kb7APGVdIYko6bBbax4h73LkrLta4hZWzEwZOIjJY3R2Kkt02Q0m83OE09EHILR+oOZ&#10;MsFpJVZK6+yEdv1CB4KpNV3lNSTfC9OW9DV9Ps3MGQ56gwOGRRiPYoFtM7d7GXAXuMzrX8CJ2JJB&#10;dyCQEVIYqzrJxEsrSNx7bIPF20cTBSMFJVriZU1WjoxM6VMiUQZtUZfUwEPLkrV2Yo9N3/ig2g7l&#10;HmWW6QSHLKs4XIg0xXf9jHT7E1j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yYmQfWAAAACgEA&#10;AA8AAAAAAAAAAQAgAAAAIgAAAGRycy9kb3ducmV2LnhtbFBLAQIUABQAAAAIAIdO4kDLljW9HAIA&#10;AEwEAAAOAAAAAAAAAAEAIAAAACUBAABkcnMvZTJvRG9jLnhtbFBLBQYAAAAABgAGAFkBAACzBQAA&#10;AAA=&#10;">
                <v:fill on="t" focussize="0,0"/>
                <v:stroke color="#000000" joinstyle="round"/>
                <v:imagedata o:title=""/>
                <o:lock v:ext="edit" aspectratio="f"/>
              </v:roundrect>
            </w:pict>
          </mc:Fallback>
        </mc:AlternateContent>
      </w:r>
    </w:p>
    <w:p w14:paraId="7659FF30">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86912" behindDoc="0" locked="0" layoutInCell="1" allowOverlap="1">
                <wp:simplePos x="0" y="0"/>
                <wp:positionH relativeFrom="column">
                  <wp:posOffset>-264795</wp:posOffset>
                </wp:positionH>
                <wp:positionV relativeFrom="paragraph">
                  <wp:posOffset>125730</wp:posOffset>
                </wp:positionV>
                <wp:extent cx="990600" cy="427990"/>
                <wp:effectExtent l="0" t="0" r="0" b="10160"/>
                <wp:wrapNone/>
                <wp:docPr id="27" name="文本框 7"/>
                <wp:cNvGraphicFramePr/>
                <a:graphic xmlns:a="http://schemas.openxmlformats.org/drawingml/2006/main">
                  <a:graphicData uri="http://schemas.microsoft.com/office/word/2010/wordprocessingShape">
                    <wps:wsp>
                      <wps:cNvSpPr txBox="1"/>
                      <wps:spPr>
                        <a:xfrm>
                          <a:off x="0" y="0"/>
                          <a:ext cx="990600" cy="427990"/>
                        </a:xfrm>
                        <a:prstGeom prst="rect">
                          <a:avLst/>
                        </a:prstGeom>
                        <a:solidFill>
                          <a:srgbClr val="FFFFFF"/>
                        </a:solidFill>
                        <a:ln>
                          <a:noFill/>
                        </a:ln>
                      </wps:spPr>
                      <wps:txbx>
                        <w:txbxContent>
                          <w:p w14:paraId="0A2B269B">
                            <w:pPr>
                              <w:rPr>
                                <w:rFonts w:ascii="宋体" w:hAnsi="宋体"/>
                                <w:color w:val="FF0000"/>
                                <w:sz w:val="21"/>
                                <w:szCs w:val="21"/>
                              </w:rPr>
                            </w:pPr>
                            <w:r>
                              <w:rPr>
                                <w:rFonts w:hint="eastAsia" w:ascii="宋体" w:hAnsi="宋体"/>
                                <w:color w:val="FF0000"/>
                                <w:sz w:val="21"/>
                                <w:szCs w:val="21"/>
                              </w:rPr>
                              <w:t>组织及其环境</w:t>
                            </w:r>
                          </w:p>
                          <w:p w14:paraId="3B9E6455">
                            <w:pPr>
                              <w:ind w:firstLine="315" w:firstLineChars="150"/>
                              <w:rPr>
                                <w:rFonts w:ascii="宋体" w:hAnsi="宋体"/>
                                <w:color w:val="FF0000"/>
                              </w:rPr>
                            </w:pPr>
                            <w:r>
                              <w:rPr>
                                <w:rFonts w:hint="eastAsia" w:ascii="宋体" w:hAnsi="宋体"/>
                                <w:color w:val="FF0000"/>
                                <w:sz w:val="21"/>
                                <w:szCs w:val="21"/>
                              </w:rPr>
                              <w:t>（4）</w:t>
                            </w:r>
                          </w:p>
                        </w:txbxContent>
                      </wps:txbx>
                      <wps:bodyPr upright="1"/>
                    </wps:wsp>
                  </a:graphicData>
                </a:graphic>
              </wp:anchor>
            </w:drawing>
          </mc:Choice>
          <mc:Fallback>
            <w:pict>
              <v:shape id="文本框 7" o:spid="_x0000_s1026" o:spt="202" type="#_x0000_t202" style="position:absolute;left:0pt;margin-left:-20.85pt;margin-top:9.9pt;height:33.7pt;width:78pt;z-index:251686912;mso-width-relative:page;mso-height-relative:page;" fillcolor="#FFFFFF" filled="t" stroked="f" coordsize="21600,21600" o:gfxdata="UEsDBAoAAAAAAIdO4kAAAAAAAAAAAAAAAAAEAAAAZHJzL1BLAwQUAAAACACHTuJAMRgc0NcAAAAJ&#10;AQAADwAAAGRycy9kb3ducmV2LnhtbE2P0W6CQBBF35v0HzbTpC+NLlgqiiwmbdKmr1o/YIARiOws&#10;YVfRv+/41D5O7smdc/Pt1fbqQqPvHBuI5xEo4srVHTcGDj+fsxUoH5Br7B2TgRt52BaPDzlmtZt4&#10;R5d9aJSUsM/QQBvCkGntq5Ys+rkbiCU7utFikHNsdD3iJOW214soWmqLHcuHFgf6aKk67c/WwPF7&#10;enlbT+VXOKS7ZPmOXVq6mzHPT3G0ARXoGv5guOuLOhTiVLoz1171BmZJnAoqwVom3IE4eQVVGlil&#10;C9BFrv8vKH4BUEsDBBQAAAAIAIdO4kCRSj0AvgEAAHcDAAAOAAAAZHJzL2Uyb0RvYy54bWytU8GO&#10;0zAQvSPxD5bvNNkKbdmo6UpQlQsCpGU/wHWcxJLtscZuk/4A/AEnLtz5rn4HYyfbheWyB3JIPDPP&#10;z/PeOOvb0Rp2VBg0uJpfLUrOlJPQaNfV/P7L7tUbzkIUrhEGnKr5SQV+u3n5Yj34Si2hB9MoZETi&#10;QjX4mvcx+qooguyVFWEBXjkqtoBWRAqxKxoUA7FbUyzL8roYABuPIFUIlN1ORT4z4nMIoW21VFuQ&#10;B6tcnFhRGRFJUui1D3yTu21bJeOntg0qMlNzUhrzmw6h9T69i81aVB0K32s5tyCe08ITTVZoR4de&#10;qLYiCnZA/Q+V1RIhQBsXEmwxCcmOkIqr8ok3d73wKmshq4O/mB7+H638ePyMTDc1X644c8LSxM/f&#10;v51//Dr//MpWyZ/Bh4pgd56AcXwLI92ah3ygZJI9tmjTlwQxqpO7p4u7aoxMUvLmprwuqSKp9Hq5&#10;ojCxFI+bPYb4XoFlaVFzpOFlT8XxQ4gT9AGSzgpgdLPTxuQAu/07g+woaNC7/Mzsf8GMS2AHadvE&#10;mDJFkjhJSas47sdZ9x6aE8k+eNRdTz1l4RlO88jNz3cnDfzPOJM+/i+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EYHNDXAAAACQEAAA8AAAAAAAAAAQAgAAAAIgAAAGRycy9kb3ducmV2LnhtbFBL&#10;AQIUABQAAAAIAIdO4kCRSj0AvgEAAHcDAAAOAAAAAAAAAAEAIAAAACYBAABkcnMvZTJvRG9jLnht&#10;bFBLBQYAAAAABgAGAFkBAABWBQAAAAA=&#10;">
                <v:fill on="t" focussize="0,0"/>
                <v:stroke on="f"/>
                <v:imagedata o:title=""/>
                <o:lock v:ext="edit" aspectratio="f"/>
                <v:textbox>
                  <w:txbxContent>
                    <w:p w14:paraId="0A2B269B">
                      <w:pPr>
                        <w:rPr>
                          <w:rFonts w:ascii="宋体" w:hAnsi="宋体"/>
                          <w:color w:val="FF0000"/>
                          <w:sz w:val="21"/>
                          <w:szCs w:val="21"/>
                        </w:rPr>
                      </w:pPr>
                      <w:r>
                        <w:rPr>
                          <w:rFonts w:hint="eastAsia" w:ascii="宋体" w:hAnsi="宋体"/>
                          <w:color w:val="FF0000"/>
                          <w:sz w:val="21"/>
                          <w:szCs w:val="21"/>
                        </w:rPr>
                        <w:t>组织及其环境</w:t>
                      </w:r>
                    </w:p>
                    <w:p w14:paraId="3B9E6455">
                      <w:pPr>
                        <w:ind w:firstLine="315" w:firstLineChars="150"/>
                        <w:rPr>
                          <w:rFonts w:ascii="宋体" w:hAnsi="宋体"/>
                          <w:color w:val="FF0000"/>
                        </w:rPr>
                      </w:pPr>
                      <w:r>
                        <w:rPr>
                          <w:rFonts w:hint="eastAsia" w:ascii="宋体" w:hAnsi="宋体"/>
                          <w:color w:val="FF0000"/>
                          <w:sz w:val="21"/>
                          <w:szCs w:val="21"/>
                        </w:rPr>
                        <w:t>（4）</w:t>
                      </w:r>
                    </w:p>
                  </w:txbxContent>
                </v:textbox>
              </v:shape>
            </w:pict>
          </mc:Fallback>
        </mc:AlternateContent>
      </w:r>
      <w:r>
        <w:rPr>
          <w:rFonts w:hint="eastAsia" w:ascii="宋体" w:hAnsi="宋体"/>
          <w:color w:val="FF0000"/>
          <w:sz w:val="21"/>
          <w:szCs w:val="21"/>
        </w:rPr>
        <w:t xml:space="preserve">                             质量管理体系                </w:t>
      </w:r>
    </w:p>
    <w:p w14:paraId="66408838">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60288" behindDoc="1" locked="0" layoutInCell="1" allowOverlap="1">
                <wp:simplePos x="0" y="0"/>
                <wp:positionH relativeFrom="column">
                  <wp:posOffset>906780</wp:posOffset>
                </wp:positionH>
                <wp:positionV relativeFrom="paragraph">
                  <wp:posOffset>2540</wp:posOffset>
                </wp:positionV>
                <wp:extent cx="3514725" cy="3133725"/>
                <wp:effectExtent l="4445" t="4445" r="5080" b="5080"/>
                <wp:wrapNone/>
                <wp:docPr id="2" name="自选图形 8"/>
                <wp:cNvGraphicFramePr/>
                <a:graphic xmlns:a="http://schemas.openxmlformats.org/drawingml/2006/main">
                  <a:graphicData uri="http://schemas.microsoft.com/office/word/2010/wordprocessingShape">
                    <wps:wsp>
                      <wps:cNvSpPr/>
                      <wps:spPr>
                        <a:xfrm>
                          <a:off x="0" y="0"/>
                          <a:ext cx="3514725" cy="3133725"/>
                        </a:xfrm>
                        <a:prstGeom prst="flowChartConnector">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自选图形 8" o:spid="_x0000_s1026" o:spt="120" type="#_x0000_t120" style="position:absolute;left:0pt;margin-left:71.4pt;margin-top:0.2pt;height:246.75pt;width:276.75pt;z-index:-251656192;mso-width-relative:page;mso-height-relative:page;" fillcolor="#FFFFFF" filled="t" stroked="t" coordsize="21600,21600" o:gfxdata="UEsDBAoAAAAAAIdO4kAAAAAAAAAAAAAAAAAEAAAAZHJzL1BLAwQUAAAACACHTuJAYNw2P9cAAAAI&#10;AQAADwAAAGRycy9kb3ducmV2LnhtbE2PQU/CQBCF7yb+h82YeJMtFCst3RI1mhAvRiThunTHtnF3&#10;tukuFP49w0mPX97kvW/K1clZccQhdJ4UTCcJCKTam44aBdvv94cFiBA1GW09oYIzBlhVtzelLowf&#10;6QuPm9gILqFQaAVtjH0hZahbdDpMfI/E2Y8fnI6MQyPNoEcud1bOkiSTTnfEC63u8bXF+ndzcAri&#10;+mw/utF+uqe3592YvjyuCXul7u+myRJExFP8O4arPqtDxU57fyAThGWez1g9KpiD4DjLsxTEnjFP&#10;c5BVKf8/UF0AUEsDBBQAAAAIAIdO4kBwX0rfCgIAACkEAAAOAAAAZHJzL2Uyb0RvYy54bWytU0uO&#10;EzEQ3SNxB8t70vkQGFrpzCIhbBCMNHCAitvutuSfbCed7NghzsCOJXdgbjMS3IKyu8l8YJEFvXBX&#10;2eVXr16VF5cHrcie+yCtqehkNKaEG2ZraZqKfvyweXZBSYhgalDW8IoeeaCXy6dPFp0r+dS2VtXc&#10;EwQxoexcRdsYXVkUgbVcQxhZxw0eCus1RHR9U9QeOkTXqpiOxy+Kzvraect4CLi77g/pgOjPAbRC&#10;SMbXlu00N7FH9VxBxJJCK12gy8xWCM7ieyECj0RVFCuNecUkaG/TWiwXUDYeXCvZQAHOofCoJg3S&#10;YNIT1BoikJ2Xf0FpybwNVsQRs7roC8mKYBWT8SNtrltwPNeCUgd3Ej38P1j2bn/liawrOqXEgMaG&#10;//z8/denL7dfb25/fCMXSaHOhRIDr92VH7yAZir3ILxOfyyEHLKqx5Oq/BAJw83ZfPL85XROCcOz&#10;2WQ2Sw7iFHfXnQ/xDbeaJKOiQtlu1YKPK2sMttD6rC3s34bYX/xzIeUOVsl6I5XKjm+2K+XJHrDh&#10;m/wNuR6EKUO6ir6aZ1qAUyxwepChdqhEME3O9+BGuA88zt+/gBOxNYS2J5ARUhiULYf6talJPDrU&#10;2ODToomC5jUliuNLTFaOjCDVOZGonzIoY+pO349kbW19xI7unJdNi1pOMst0ghOURR+mPY3ofT8j&#10;3b3w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3DY/1wAAAAgBAAAPAAAAAAAAAAEAIAAAACIA&#10;AABkcnMvZG93bnJldi54bWxQSwECFAAUAAAACACHTuJAcF9K3woCAAApBAAADgAAAAAAAAABACAA&#10;AAAmAQAAZHJzL2Uyb0RvYy54bWxQSwUGAAAAAAYABgBZAQAAogUAAAAA&#10;">
                <v:fill on="t" focussize="0,0"/>
                <v:stroke color="#000000" joinstyle="round"/>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64384" behindDoc="0" locked="0" layoutInCell="1" allowOverlap="1">
                <wp:simplePos x="0" y="0"/>
                <wp:positionH relativeFrom="column">
                  <wp:posOffset>2221230</wp:posOffset>
                </wp:positionH>
                <wp:positionV relativeFrom="paragraph">
                  <wp:posOffset>173990</wp:posOffset>
                </wp:positionV>
                <wp:extent cx="904875" cy="742950"/>
                <wp:effectExtent l="4445" t="4445" r="5080" b="14605"/>
                <wp:wrapNone/>
                <wp:docPr id="5" name="自选图形 9"/>
                <wp:cNvGraphicFramePr/>
                <a:graphic xmlns:a="http://schemas.openxmlformats.org/drawingml/2006/main">
                  <a:graphicData uri="http://schemas.microsoft.com/office/word/2010/wordprocessingShape">
                    <wps:wsp>
                      <wps:cNvSpPr/>
                      <wps:spPr>
                        <a:xfrm>
                          <a:off x="0" y="0"/>
                          <a:ext cx="9048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6D3AF4E7">
                            <w:pPr>
                              <w:spacing w:line="360" w:lineRule="exact"/>
                              <w:rPr>
                                <w:rFonts w:ascii="宋体" w:hAnsi="宋体"/>
                                <w:sz w:val="21"/>
                                <w:szCs w:val="21"/>
                              </w:rPr>
                            </w:pPr>
                            <w:r>
                              <w:rPr>
                                <w:rFonts w:hint="eastAsia" w:ascii="宋体" w:hAnsi="宋体"/>
                                <w:sz w:val="21"/>
                                <w:szCs w:val="21"/>
                              </w:rPr>
                              <w:t>支持（7）</w:t>
                            </w:r>
                          </w:p>
                          <w:p w14:paraId="3F083513">
                            <w:pPr>
                              <w:spacing w:line="360" w:lineRule="exact"/>
                              <w:rPr>
                                <w:rFonts w:ascii="宋体" w:hAnsi="宋体"/>
                                <w:sz w:val="21"/>
                                <w:szCs w:val="21"/>
                              </w:rPr>
                            </w:pPr>
                            <w:r>
                              <w:rPr>
                                <w:rFonts w:hint="eastAsia" w:ascii="宋体" w:hAnsi="宋体"/>
                                <w:sz w:val="21"/>
                                <w:szCs w:val="21"/>
                              </w:rPr>
                              <w:t>运行（8）</w:t>
                            </w:r>
                          </w:p>
                        </w:txbxContent>
                      </wps:txbx>
                      <wps:bodyPr upright="1"/>
                    </wps:wsp>
                  </a:graphicData>
                </a:graphic>
              </wp:anchor>
            </w:drawing>
          </mc:Choice>
          <mc:Fallback>
            <w:pict>
              <v:shape id="自选图形 9" o:spid="_x0000_s1026" o:spt="120" type="#_x0000_t120" style="position:absolute;left:0pt;margin-left:174.9pt;margin-top:13.7pt;height:58.5pt;width:71.25pt;z-index:251664384;mso-width-relative:page;mso-height-relative:page;" fillcolor="#FFFFFF" filled="t" stroked="t" coordsize="21600,21600" o:gfxdata="UEsDBAoAAAAAAIdO4kAAAAAAAAAAAAAAAAAEAAAAZHJzL1BLAwQUAAAACACHTuJAmZ3AHtkAAAAK&#10;AQAADwAAAGRycy9kb3ducmV2LnhtbE2PwU7DMBBE70j8g7VI3KjTxNA2xKkAgVRxQRSkXt14SSLs&#10;dRS7Tfv3LCc4ruZp5m21PnknjjjGPpCG+SwDgdQE21Or4fPj5WYJIiZD1rhAqOGMEdb15UVlShsm&#10;esfjNrWCSyiWRkOX0lBKGZsOvYmzMCBx9hVGbxKfYyvtaCYu907mWXYnvemJFzoz4FOHzff24DWk&#10;zdm99pN784vnh91UPN5uCAetr6/m2T2IhKf0B8OvPqtDzU77cCAbhdNQqBWrJw35QoFgQK3yAsSe&#10;SaUUyLqS/1+ofwBQSwMEFAAAAAgAh07iQJYd6BESAgAAMgQAAA4AAABkcnMvZTJvRG9jLnhtbK1T&#10;zY7TMBC+I/EOlu80abVlt1HTPbSUC4KVFh7AtZ3Ekv/kcZv0xg3xDNw48g7wNivBWzB2S/cHDj2Q&#10;QzKOZz5/3zfj+fVgNNnJAMrZmo5HJSXScieUbWv64f36xRUlEJkVTDsra7qXQK8Xz5/Ne1/Jieuc&#10;FjIQBLFQ9b6mXYy+KgrgnTQMRs5Li5uNC4ZFXIa2EIH1iG50MSnLl0XvgvDBcQmAf1eHTXpEDOcA&#10;uqZRXK4c3xpp4wE1SM0iSoJOeaCLzLZpJI/vmgZkJLqmqDTmNx6C8Sa9i8WcVW1gvlP8SIGdQ+GJ&#10;JsOUxUNPUCsWGdkG9ReUUTw4cE0ccWeKg5DsCKoYl0+8ue2Yl1kLWg3+ZDr8P1j+dncTiBI1nVJi&#10;mcGG//z07dfHz3dfftx9/0pmyaHeQ4WJt/4mHFeAYZI7NMGkLwohQ3Z1f3JVDpFw/DkrL64uEZ3j&#10;1uXFZDbNrhf3xT5AfC2dISmoaaNdv+xYiEtnLTbQhews272BiMdj4Z+CdDI4rcRaaZ0Xod0sdSA7&#10;hu1e5yfxx5JHadqSHnlNJ4kVwxlucHYwNB59ANvm8x5VwEPgMj//Ak7EVgy6A4GMkNJY1UkmXllB&#10;4t6jwxYvFk0UjBSUaIn3MEU5MzKlz8lETdqitNSbQzdSFIfNgDAp3Dixx9ZufVBth7aOM+G0g6OU&#10;PTmOfZrVh+sMen/V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Z3AHtkAAAAKAQAADwAAAAAA&#10;AAABACAAAAAiAAAAZHJzL2Rvd25yZXYueG1sUEsBAhQAFAAAAAgAh07iQJYd6BESAgAAMgQAAA4A&#10;AAAAAAAAAQAgAAAAKAEAAGRycy9lMm9Eb2MueG1sUEsFBgAAAAAGAAYAWQEAAKwFAAAAAA==&#10;">
                <v:fill on="t" focussize="0,0"/>
                <v:stroke color="#000000" joinstyle="round"/>
                <v:imagedata o:title=""/>
                <o:lock v:ext="edit" aspectratio="f"/>
                <v:textbox>
                  <w:txbxContent>
                    <w:p w14:paraId="6D3AF4E7">
                      <w:pPr>
                        <w:spacing w:line="360" w:lineRule="exact"/>
                        <w:rPr>
                          <w:rFonts w:ascii="宋体" w:hAnsi="宋体"/>
                          <w:sz w:val="21"/>
                          <w:szCs w:val="21"/>
                        </w:rPr>
                      </w:pPr>
                      <w:r>
                        <w:rPr>
                          <w:rFonts w:hint="eastAsia" w:ascii="宋体" w:hAnsi="宋体"/>
                          <w:sz w:val="21"/>
                          <w:szCs w:val="21"/>
                        </w:rPr>
                        <w:t>支持（7）</w:t>
                      </w:r>
                    </w:p>
                    <w:p w14:paraId="3F083513">
                      <w:pPr>
                        <w:spacing w:line="360" w:lineRule="exact"/>
                        <w:rPr>
                          <w:rFonts w:ascii="宋体" w:hAnsi="宋体"/>
                          <w:sz w:val="21"/>
                          <w:szCs w:val="21"/>
                        </w:rPr>
                      </w:pPr>
                      <w:r>
                        <w:rPr>
                          <w:rFonts w:hint="eastAsia" w:ascii="宋体" w:hAnsi="宋体"/>
                          <w:sz w:val="21"/>
                          <w:szCs w:val="21"/>
                        </w:rPr>
                        <w:t>运行（8）</w:t>
                      </w:r>
                    </w:p>
                  </w:txbxContent>
                </v:textbox>
              </v:shape>
            </w:pict>
          </mc:Fallback>
        </mc:AlternateContent>
      </w:r>
    </w:p>
    <w:p w14:paraId="4A5BFA3B">
      <w:pPr>
        <w:spacing w:line="32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7696" behindDoc="0" locked="0" layoutInCell="1" allowOverlap="1">
                <wp:simplePos x="0" y="0"/>
                <wp:positionH relativeFrom="column">
                  <wp:posOffset>354330</wp:posOffset>
                </wp:positionH>
                <wp:positionV relativeFrom="paragraph">
                  <wp:posOffset>147320</wp:posOffset>
                </wp:positionV>
                <wp:extent cx="790575" cy="318770"/>
                <wp:effectExtent l="6985" t="17780" r="2540" b="25400"/>
                <wp:wrapNone/>
                <wp:docPr id="18" name="自选图形 10"/>
                <wp:cNvGraphicFramePr/>
                <a:graphic xmlns:a="http://schemas.openxmlformats.org/drawingml/2006/main">
                  <a:graphicData uri="http://schemas.microsoft.com/office/word/2010/wordprocessingShape">
                    <wps:wsp>
                      <wps:cNvCnPr/>
                      <wps:spPr>
                        <a:xfrm>
                          <a:off x="0" y="0"/>
                          <a:ext cx="790575" cy="31877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7.9pt;margin-top:11.6pt;height:25.1pt;width:62.25pt;z-index:251677696;mso-width-relative:page;mso-height-relative:page;" filled="f" stroked="t" coordsize="21600,21600" o:gfxdata="UEsDBAoAAAAAAIdO4kAAAAAAAAAAAAAAAAAEAAAAZHJzL1BLAwQUAAAACACHTuJAvdN7oNgAAAAI&#10;AQAADwAAAGRycy9kb3ducmV2LnhtbE2PS0/DMBCE70j8B2uRuFG7CS1RGqdClTjwuPTBfRtvk7Tx&#10;OsTuA3497gmOoxnNfFPML7YTJxp861jDeKRAEFfOtFxr2KxfHjIQPiAb7ByThm/yMC9vbwrMjTvz&#10;kk6rUItYwj5HDU0IfS6lrxqy6EeuJ47ezg0WQ5RDLc2A51huO5koNZUWW44LDfa0aKg6rI5WQ3p4&#10;Vz/p5vkT64Wa7l7f1h/Z117r+7uxmoEIdAl/YbjiR3QoI9PWHdl40WmYTCJ50JCkCYirn6kUxFbD&#10;U/oIsizk/wPlL1BLAwQUAAAACACHTuJAZKa61gECAADuAwAADgAAAGRycy9lMm9Eb2MueG1srVNL&#10;jhMxEN0jcQfLe9Ldg4aEVjqzSBg2CCIBB6i43d2W/JPLk0527BBnYMeSO8BtRhpuQdkJCQxCmgVZ&#10;dMp21at6z8/zq53RbCsDKmcbXk1KzqQVrlW2b/j7d9dPZpxhBNuCdlY2fC+RXy0eP5qPvpYXbnC6&#10;lYERiMV69A0fYvR1UaAYpAGcOC8tHXYuGIi0DH3RBhgJ3ejioiyfFaMLrQ9OSETaXR0O+RExPATQ&#10;dZ0ScuXEjZE2HlCD1BCJEg7KI1/kabtOivim61BGphtOTGP+UhOKN+lbLOZQ9wH8oMRxBHjICPc4&#10;GVCWmp6gVhCB3QT1F5RRIjh0XZwIZ4oDkawIsajKe9q8HcDLzIWkRn8SHf8frHi9XQemWnIC3bsF&#10;Qzd+9/Hrjw+fbj9/v/32hVVZo9FjTalLuw6kWFqhX4dEeNcFk/6JCttlXfcnXeUuMkGb0+fl5fSS&#10;M0FHT6vZdJoxi3OxDxhfSmdYChqOMYDqh7h01tINulBlbWH7CiO1p8JfBamztmwk3FlV0qUKIEt2&#10;ZAUKjSdaaPtcjE6r9lppnUow9JulDmwLyRb5l5xAwH+kpS4rwOGQl48OhhkktC9sy+Lek16W3glP&#10;MxjZcqYlPasUZWtFUPqcGYMC2+t/ZFN7bWmKs7wp2rh2n1XP+2SDPOfRsslnv69z9fmZL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dN7oNgAAAAIAQAADwAAAAAAAAABACAAAAAiAAAAZHJzL2Rv&#10;d25yZXYueG1sUEsBAhQAFAAAAAgAh07iQGSmutYBAgAA7gMAAA4AAAAAAAAAAQAgAAAAJwEAAGRy&#10;cy9lMm9Eb2MueG1sUEsFBgAAAAAGAAYAWQEAAJoFAAAAAA==&#10;">
                <v:fill on="f" focussize="0,0"/>
                <v:stroke weight="3pt" color="#000000" joinstyle="round"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6672" behindDoc="0" locked="0" layoutInCell="1" allowOverlap="1">
                <wp:simplePos x="0" y="0"/>
                <wp:positionH relativeFrom="column">
                  <wp:posOffset>1424940</wp:posOffset>
                </wp:positionH>
                <wp:positionV relativeFrom="paragraph">
                  <wp:posOffset>275590</wp:posOffset>
                </wp:positionV>
                <wp:extent cx="1004570" cy="747395"/>
                <wp:effectExtent l="9525" t="131445" r="0" b="0"/>
                <wp:wrapNone/>
                <wp:docPr id="17" name="自选图形 11"/>
                <wp:cNvGraphicFramePr/>
                <a:graphic xmlns:a="http://schemas.openxmlformats.org/drawingml/2006/main">
                  <a:graphicData uri="http://schemas.microsoft.com/office/word/2010/wordprocessingShape">
                    <wps:wsp>
                      <wps:cNvSpPr/>
                      <wps:spPr>
                        <a:xfrm rot="16800000">
                          <a:off x="0" y="0"/>
                          <a:ext cx="1004570" cy="747395"/>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1" o:spid="_x0000_s1026" o:spt="100" style="position:absolute;left:0pt;margin-left:112.2pt;margin-top:21.7pt;height:58.85pt;width:79.1pt;rotation:-5242880f;z-index:251676672;mso-width-relative:page;mso-height-relative:page;" fillcolor="#FFFFFF" filled="t" stroked="t" coordsize="21600,21600" o:gfxdata="UEsDBAoAAAAAAIdO4kAAAAAAAAAAAAAAAAAEAAAAZHJzL1BLAwQUAAAACACHTuJA82EjmdYAAAAK&#10;AQAADwAAAGRycy9kb3ducmV2LnhtbE2Py07DQAxF90j8w8hI7KjzUqhCJhVC6oZNaYtYTzImich4&#10;osz0wd9jVrCyLB/de1xvrm5SZ1rC6FlDukpAEXfejtxreD9uH9agQjRszeSZNHxTgE1ze1ObyvoL&#10;7+l8iL2SEA6V0TDEOFeIoRvImbDyM7HcPv3iTJR16dEu5iLhbsIsSUp0ZmRpGMxMLwN1X4eTk97I&#10;r+P2LT5+YF5muG93u/wZtb6/S5MnUJGu8Q+GX31Rh0acWn9iG9SkIcuKQlANRS5TgHydlaBaIcs0&#10;BWxq/P9C8wNQSwMEFAAAAAgAh07iQBmgj2hOAwAAJwgAAA4AAABkcnMvZTJvRG9jLnhtbK1Vy47T&#10;MBTdI/EPVpZIM4mTpi9NO2IowwbBaKZ8gMdxmkhObNluk+7YIb6BHUv+Af5mJPgLrp2kr2lRF3TR&#10;3MTnvs6xr6+u64KjFVM6F+XEw5eBh1hJRZKXi4n3aX57MfSQNqRMCBclm3hrpr3r6csXV5Ucs1Bk&#10;gidMIQhS6nElJ15mjBz7vqYZK4i+FJKVsJgKVRADr2rhJ4pUEL3gfhgEfb8SKpFKUKY1fJ01i14b&#10;UZ0TUKRpTtlM0GXBStNEVYwTAy3pLJfam7pq05RR8zFNNTOITzzo1Lh/SAL2o/33p1dkvFBEZjlt&#10;SyDnlHDQU0HyEpJuQs2IIWip8mehipwqoUVqLqko/KYRxwh0gYMDbh4yIpnrBajWckO6/n9h6YfV&#10;nUJ5Ajth4KGSFKD47y8//nz++vTt19PP7whjy1El9RigD/JOtW8aTNtwnaoCKQHE4v4wsD/HA3SG&#10;akfzekMzqw2i8BEHQS8egAIU1ga9QTSKbQ6/CWaD0qU275gorE1W77VpZErAciQnbaWmfu+htOAg&#10;2SsfRbgfoQqFuA9FtB4b4PwQmJ0A3u8A8bAXDU6GvHmG3IkJ3Sy6eknWtUDrsu0BLETskQuBCduU&#10;FNoyhnthhD0EzMTxqKUFsI6VzgUP91x6URQ3HiN8yuUwSxjj1qc/OOWzlyTsRcCqrQsHoPOJyvZc&#10;8HDUufTh5J/lEsWdy2EWIHTLnoKDbY+02wCw90wN+sKxNjXIBwfb1DfNDpDEWPIdwWCiCgh3+wNl&#10;nWXXCrFic+FQxqngCj7sdosiis4Fqu5BpZ4tONtY2ry2qsI3XTnrYhgPBrjfb+rh5W6a0Cpps/TC&#10;UdTy0yG2KRrCXY7WbJNsQne5/pXqqH5dsu4pm+6PCtdhumeLPapYh+meLfYoqx2GcqFZMwesam4g&#10;bOSz6u8MBS14ntzmnFvJtFo8vuEKrQjsiFv3a7ncg/HSqj+KQ9j4lMDNlcKNAWYhYfrpcuFO4Z7H&#10;XmA327pNvAeTSpsZ0VlTgFtqxC5yw5QbRBkjydsyQWYtYcCWcLF6tpiCJR7iDO5hazmkITk/BwmE&#10;cJgKvp3MzSy21qNI1jDPl1Lli8zOZEeEXYH7wzHa3nX2gtp9d5G29/v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PNhI5nWAAAACgEAAA8AAAAAAAAAAQAgAAAAIgAAAGRycy9kb3ducmV2LnhtbFBL&#10;AQIUABQAAAAIAIdO4kAZoI9oTgMAACcIAAAOAAAAAAAAAAEAIAAAACUBAABkcnMvZTJvRG9jLnht&#10;bFBLBQYAAAAABgAGAFkBAADlBg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1A45FD7F">
      <w:pPr>
        <w:spacing w:line="560" w:lineRule="exact"/>
        <w:rPr>
          <w:rFonts w:ascii="宋体" w:hAnsi="宋体"/>
          <w:color w:val="FF0000"/>
          <w:sz w:val="21"/>
          <w:szCs w:val="21"/>
        </w:rPr>
      </w:pPr>
      <w:r>
        <w:rPr>
          <w:rFonts w:ascii="宋体" w:hAnsi="宋体"/>
          <w:color w:val="FF0000"/>
          <w:sz w:val="21"/>
          <w:szCs w:val="21"/>
        </w:rPr>
        <mc:AlternateContent>
          <mc:Choice Requires="wps">
            <w:drawing>
              <wp:anchor distT="0" distB="0" distL="114300" distR="114300" simplePos="0" relativeHeight="251673600" behindDoc="0" locked="0" layoutInCell="1" allowOverlap="1">
                <wp:simplePos x="0" y="0"/>
                <wp:positionH relativeFrom="column">
                  <wp:posOffset>2984500</wp:posOffset>
                </wp:positionH>
                <wp:positionV relativeFrom="paragraph">
                  <wp:posOffset>71755</wp:posOffset>
                </wp:positionV>
                <wp:extent cx="1063625" cy="612140"/>
                <wp:effectExtent l="0" t="24765" r="144145" b="0"/>
                <wp:wrapNone/>
                <wp:docPr id="14" name="自选图形 12"/>
                <wp:cNvGraphicFramePr/>
                <a:graphic xmlns:a="http://schemas.openxmlformats.org/drawingml/2006/main">
                  <a:graphicData uri="http://schemas.microsoft.com/office/word/2010/wordprocessingShape">
                    <wps:wsp>
                      <wps:cNvSpPr/>
                      <wps:spPr>
                        <a:xfrm rot="900000">
                          <a:off x="0" y="0"/>
                          <a:ext cx="1063625" cy="612140"/>
                        </a:xfrm>
                        <a:custGeom>
                          <a:avLst/>
                          <a:gdLst>
                            <a:gd name="txL" fmla="*/ 3163 w 21600"/>
                            <a:gd name="txT" fmla="*/ 3163 h 21600"/>
                            <a:gd name="txR" fmla="*/ 18437 w 21600"/>
                            <a:gd name="txB" fmla="*/ 18437 h 21600"/>
                          </a:gdLst>
                          <a:ahLst/>
                          <a:cxnLst>
                            <a:cxn ang="270">
                              <a:pos x="14231" y="559"/>
                            </a:cxn>
                            <a:cxn ang="180">
                              <a:pos x="4335" y="5919"/>
                            </a:cxn>
                            <a:cxn ang="270">
                              <a:pos x="12515" y="5679"/>
                            </a:cxn>
                            <a:cxn ang="0">
                              <a:pos x="24300" y="10800"/>
                            </a:cxn>
                            <a:cxn ang="0">
                              <a:pos x="18900" y="16200"/>
                            </a:cxn>
                            <a:cxn ang="0">
                              <a:pos x="13500" y="10800"/>
                            </a:cxn>
                          </a:cxnLst>
                          <a:rect l="txL" t="txT" r="txR" b="txB"/>
                          <a:pathLst>
                            <a:path w="21600" h="21600">
                              <a:moveTo>
                                <a:pt x="16200" y="10800"/>
                              </a:moveTo>
                              <a:arcTo wR="5400" hR="5400" stAng="0" swAng="-8577166"/>
                              <a:lnTo>
                                <a:pt x="2180" y="4293"/>
                              </a:lnTo>
                              <a:arcTo wR="10800" hR="10800" stAng="-8577166" swAng="8577166"/>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2" o:spid="_x0000_s1026" o:spt="100" style="position:absolute;left:0pt;margin-left:235pt;margin-top:5.65pt;height:48.2pt;width:83.75pt;rotation:983040f;z-index:251673600;mso-width-relative:page;mso-height-relative:page;" fillcolor="#FFFFFF" filled="t" stroked="t" coordsize="21600,21600" o:gfxdata="UEsDBAoAAAAAAIdO4kAAAAAAAAAAAAAAAAAEAAAAZHJzL1BLAwQUAAAACACHTuJAtS6OmNgAAAAK&#10;AQAADwAAAGRycy9kb3ducmV2LnhtbE2PwU7DMBBE70j8g7VI3KidhjYoxKkECCGVE20/wI2XODRe&#10;h9hpy9+znMpxZ0azb6rV2ffiiGPsAmnIZgoEUhNsR62G3fb17gFETIas6QOhhh+MsKqvrypT2nCi&#10;DzxuUiu4hGJpNLiUhlLK2Dj0Js7CgMTeZxi9SXyOrbSjOXG57+VcqaX0piP+4MyAzw6bw2byGt6f&#10;3nYHNcevrVqrl3y9mNy3nbS+vcnUI4iE53QJwx8+o0PNTPswkY2i13BfKN6S2MhyEBxY5sUCxJ4F&#10;VRQg60r+n1D/AlBLAwQUAAAACACHTuJA5hFuYlMDAAAlCAAADgAAAGRycy9lMm9Eb2MueG1srVVL&#10;btswEN0X6B0ILQskMiVZ/iB20NRNN0UbJO4BGImyBFAiQdKWvOuu6Bm667J3aG8ToL1Fh6TkWI5d&#10;ZFEvrJH45vdmOHNx2ZQMbahUBa9mHj4feIhWCU+LajXzPi2vz8YeUppUKWG8ojNvS5V3OX/54qIW&#10;UxrwnLOUSgRGKjWtxczLtRZT31dJTkuizrmgFRxmXJZEw6tc+akkNVgvmR8MBrFfc5kKyROqFHxd&#10;uEOvtSifY5BnWZHQBU/WJa20syopIxpSUnkhlDe30WYZTfTHLFNUIzbzIFNt/8EJyPfm359fkOlK&#10;EpEXSRsCeU4IBzmVpKjA6c7UgmiC1rJ4YqosEskVz/R5wkvfJWIZgSzw4ICbu5wIanMBqpXYka7+&#10;n9nkw+ZGoiKFTog8VJESKv77y48/n78+fPv18PM7woHhqBZqCtA7cSPbNwWiSbjJZIkkB2InA/Oz&#10;LEBeqLEkb3ck00ajBD7iQRzGwdBDCZzFOMCRrYLvTBmTyVrpd5SXRiab90q7IqUgWYrTNk7dvPdQ&#10;VjIo2CsfhTgOUY0CHEMQrcYOuDwE5ieAt3tAPI7C0UmTV0+QezYhm1UXL8m7FJKmanMACRFz4YKR&#10;Y0xwZRjDURBiDwEzw+HEZAGGAGtZ6VTwuKcShSGQaTQm+JTKoZdgiFudeHRKp+ckiEJg1XjBg7Hj&#10;90hkPRU8hoZwKjHc+xPJ9FXCYady6MV5a9mTcK3NhbYNAJ2nG6gvXGrdQPngWuvmynWAINqQb+gz&#10;IqqBcNsfKO8kc1byDV1yi9K2Cjbgw2wfUUQmS47qW+A8MgHnO0np16aq8E3VVjobD0cjHMcuHlbt&#10;uwlMJY2XKJiELT8d4tGFI9z6aMXWyc505+tfro7Wr3PWPYXL/mjhOkz3bLFHK9ZhumeLPcpqh0kY&#10;V9Q1vCmV7fxd+Uz194aC4qxIrwvGTMmUXN2/YRJtCHTEtf21XPZgrDLVnwzt5CGwtzLYFzCESgGz&#10;T1UrO7d6Gj3DdrZ1TdyDCan0gqjcBWCPXLHLQlNpB1FOSfq2SpHeChivFaxVzwRT0tRDjMIWNpJF&#10;alKw5yCBEAZTwTdz2U1iI93zdAvTfC1kscrhXmBLhDmB7WEZbTedWU/779bS43af/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C1Lo6Y2AAAAAoBAAAPAAAAAAAAAAEAIAAAACIAAABkcnMvZG93bnJl&#10;di54bWxQSwECFAAUAAAACACHTuJA5hFuYlMDAAAlCAAADgAAAAAAAAABACAAAAAnAQAAZHJzL2Uy&#10;b0RvYy54bWxQSwUGAAAAAAYABgBZAQAA7AYAAAAA&#10;" path="m16200,10800c16200,7818,13782,5400,10800,5400c9039,5400,7476,6243,6490,7546l2180,4293c4151,1685,7279,0,10800,0c16765,0,21600,4835,21600,10800l24300,10800,18900,16200,13500,10800,16200,10800xe">
                <v:path o:connectlocs="14231,559;4335,5919;12515,5679;24300,10800;18900,16200;13500,10800" o:connectangles="0,0,0,0,0,0"/>
                <v:fill on="t" focussize="0,0"/>
                <v:stroke color="#000000" joinstyle="miter"/>
                <v:imagedata o:title=""/>
                <o:lock v:ext="edit" aspectratio="f"/>
              </v:shape>
            </w:pict>
          </mc:Fallback>
        </mc:AlternateContent>
      </w:r>
    </w:p>
    <w:p w14:paraId="6CF1341C">
      <w:pPr>
        <w:spacing w:line="36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81792" behindDoc="0" locked="0" layoutInCell="1" allowOverlap="1">
                <wp:simplePos x="0" y="0"/>
                <wp:positionH relativeFrom="column">
                  <wp:posOffset>4775200</wp:posOffset>
                </wp:positionH>
                <wp:positionV relativeFrom="paragraph">
                  <wp:posOffset>207645</wp:posOffset>
                </wp:positionV>
                <wp:extent cx="95250" cy="375920"/>
                <wp:effectExtent l="73660" t="0" r="59690" b="1905"/>
                <wp:wrapNone/>
                <wp:docPr id="22" name="自选图形 13"/>
                <wp:cNvGraphicFramePr/>
                <a:graphic xmlns:a="http://schemas.openxmlformats.org/drawingml/2006/main">
                  <a:graphicData uri="http://schemas.microsoft.com/office/word/2010/wordprocessingShape">
                    <wps:wsp>
                      <wps:cNvSpPr/>
                      <wps:spPr>
                        <a:xfrm rot="1800000">
                          <a:off x="0" y="0"/>
                          <a:ext cx="95250" cy="375920"/>
                        </a:xfrm>
                        <a:prstGeom prst="upArrow">
                          <a:avLst>
                            <a:gd name="adj1" fmla="val 50000"/>
                            <a:gd name="adj2" fmla="val 98666"/>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3" o:spid="_x0000_s1026" o:spt="68" type="#_x0000_t68" style="position:absolute;left:0pt;margin-left:376pt;margin-top:16.35pt;height:29.6pt;width:7.5pt;rotation:1966080f;z-index:251681792;mso-width-relative:page;mso-height-relative:page;" fillcolor="#FFFFFF" filled="t" stroked="t" coordsize="21600,21600" o:gfxdata="UEsDBAoAAAAAAIdO4kAAAAAAAAAAAAAAAAAEAAAAZHJzL1BLAwQUAAAACACHTuJAA21u/tgAAAAJ&#10;AQAADwAAAGRycy9kb3ducmV2LnhtbE2PwU7DMBBE70j8g7VIXCLqJFUbGrLpAcENhFryAW68jSPi&#10;dRS7Tfh7zAmOszOafVPtFzuIK02+d4yQrVIQxK3TPXcIzefrwyMIHxRrNTgmhG/ysK9vbypVajfz&#10;ga7H0IlYwr5UCCaEsZTSt4as8is3Ekfv7CarQpRTJ/Wk5lhuB5mn6VZa1XP8YNRIz4bar+PFImxe&#10;0remeZ+XpHPJsv5IzJlyg3h/l6VPIAIt4S8Mv/gRHerIdHIX1l4MCMUmj1sCwjovQMRAsS3i4YSw&#10;y3Yg60r+X1D/AFBLAwQUAAAACACHTuJAyl/xKTUCAACGBAAADgAAAGRycy9lMm9Eb2MueG1srVRN&#10;jtMwFN4jcQfLe5o0o5Y2ajpClLJBMNLAAVzbSYz8J9tt2h07xBnYseQOw21Gglvw7GQ67bDpgiyi&#10;57zn773v++wsrvdKoh13Xhhd4fEox4hrapjQTYU/fVy/mGHkA9GMSKN5hQ/c4+vl82eLzpa8MK2R&#10;jDsEINqXna1wG4Its8zTliviR8ZyDcnaOEUCLF2TMUc6QFcyK/J8mnXGMesM5d7D11WfxAOiuwTQ&#10;1LWgfGXoVnEdelTHJQlAybfCerxM09Y1p+FDXXsekKwwMA3pDU0g3sR3tlyQsnHEtoIOI5BLRnjC&#10;SRGhoekRakUCQVsn/oFSgjrjTR1G1KisJ5IUARbj/Ik2ty2xPHEBqb09iu7/Hyx9v7txSLAKFwVG&#10;mihw/PfXn3++fLv//uv+7gcaX0WNOutLKL21N25YeQgj4X3tFHIGhB3P8vgkGYAY2ieVD0eV+T4g&#10;Ch/nk2IC8lPIXL2czItkQtYjRUTrfHjLjUIxqPDWvnLOdAmW7N75kGRmw6yEfR5jVCsJru2IRJM0&#10;Qu/qSQ1we6yZz6bTaWQFTQdEiB7aRnhvpGBrIWVauGbzWjoE8BVep2fYfFYmNep6csCNwMWo4UBC&#10;qCyI63WTCJzt8KfASbsHKc7K4mAr4tt+gJSK/UmpRODRDlK2nLA3mqFwsOCfhnuL4zCKM4wkh2se&#10;o1QZiJCXVIIgUoNC0fje6hhtDDvAcdlaJ5o2Wp6EiBk4nknP4SrF83+6TkiPv4/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Ntbv7YAAAACQEAAA8AAAAAAAAAAQAgAAAAIgAAAGRycy9kb3ducmV2&#10;LnhtbFBLAQIUABQAAAAIAIdO4kDKX/EpNQIAAIYEAAAOAAAAAAAAAAEAIAAAACcBAABkcnMvZTJv&#10;RG9jLnhtbFBLBQYAAAAABgAGAFkBAADOBQAAAAA=&#10;" adj="5399,54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69504" behindDoc="0" locked="0" layoutInCell="1" allowOverlap="1">
                <wp:simplePos x="0" y="0"/>
                <wp:positionH relativeFrom="column">
                  <wp:posOffset>2659380</wp:posOffset>
                </wp:positionH>
                <wp:positionV relativeFrom="paragraph">
                  <wp:posOffset>154940</wp:posOffset>
                </wp:positionV>
                <wp:extent cx="9525" cy="295275"/>
                <wp:effectExtent l="35560" t="0" r="50165" b="9525"/>
                <wp:wrapNone/>
                <wp:docPr id="10" name="自选图形 14"/>
                <wp:cNvGraphicFramePr/>
                <a:graphic xmlns:a="http://schemas.openxmlformats.org/drawingml/2006/main">
                  <a:graphicData uri="http://schemas.microsoft.com/office/word/2010/wordprocessingShape">
                    <wps:wsp>
                      <wps:cNvCnPr/>
                      <wps:spPr>
                        <a:xfrm>
                          <a:off x="0" y="0"/>
                          <a:ext cx="9525" cy="295275"/>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14" o:spid="_x0000_s1026" o:spt="32" type="#_x0000_t32" style="position:absolute;left:0pt;margin-left:209.4pt;margin-top:12.2pt;height:23.25pt;width:0.75pt;z-index:251669504;mso-width-relative:page;mso-height-relative:page;" filled="f" stroked="t" coordsize="21600,21600" o:gfxdata="UEsDBAoAAAAAAIdO4kAAAAAAAAAAAAAAAAAEAAAAZHJzL1BLAwQUAAAACACHTuJA5QFIwNkAAAAJ&#10;AQAADwAAAGRycy9kb3ducmV2LnhtbE2PzU7DMBCE70i8g7VI3KidEJU2ZNMDPxLqBVEoUm9uvCQR&#10;8TqKnSbw9JgTHEczmvmm2My2EycafOsYIVkoEMSVMy3XCG+vj1crED5oNrpzTAhf5GFTnp8VOjdu&#10;4hc67UItYgn7XCM0IfS5lL5qyGq/cD1x9D7cYHWIcqilGfQUy20nU6WW0uqW40Kje7prqPrcjRah&#10;4/3zw7t+8tvlONN+e/iWdrpHvLxI1C2IQHP4C8MvfkSHMjId3cjGiw4hS1YRPSCkWQYiBrJUXYM4&#10;ItyoNciykP8flD9QSwMEFAAAAAgAh07iQABmuJfzAQAA7wMAAA4AAABkcnMvZTJvRG9jLnhtbK1T&#10;S44TMRDdI3EHy3vSSUT4tNKZRcKwQRAJOEDFdndb8k8uTzrZsUOcgR1L7gC3GQluQdkdMjBssqAX&#10;7rKr6lW95/Ly6mAN26uI2ruGzyZTzpQTXmrXNfz9u+tHzzjDBE6C8U41/KiQX60ePlgOoVZz33sj&#10;VWQE4rAeQsP7lEJdVSh6ZQEnPihHztZHC4m2satkhIHQranm0+mTavBRhuiFQqTTzejkJ8R4CaBv&#10;Wy3Uxosbq1waUaMykIgS9jogX5Vu21aJ9KZtUSVmGk5MU1mpCNm7vFarJdRdhNBrcWoBLmnhHicL&#10;2lHRM9QGErCbqP+BslpEj75NE+FtNRIpihCL2fSeNm97CKpwIakxnEXH/wcrXu+3kWlJk0CSOLB0&#10;4z8+fv354dPt5++3376w2eOs0RCwptC128bTDsM2ZsKHNtr8JyrsUHQ9nnVVh8QEHT5fzBecCXLM&#10;yXy6yIjVXWqImF4qb1k2Go4pgu76tPbO0f35OCvKwv4VpjHxd0KuaxwbzhWA5rGlOaBiNhAndF3J&#10;RW+0vNbG5AyM3W5tIttDnonynRr6KywX2QD2Y1xx5TCoewXyhZMsHQOJlaIG1xnFcxtWSc6MoneV&#10;rRKdQJtLo0kT40iarPaob7Z2Xh6L7OWc5qCId5rZPGh/7kv23Ttd/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AUjA2QAAAAkBAAAPAAAAAAAAAAEAIAAAACIAAABkcnMvZG93bnJldi54bWxQSwEC&#10;FAAUAAAACACHTuJAAGa4l/MBAADvAwAADgAAAAAAAAABACAAAAAoAQAAZHJzL2Uyb0RvYy54bWxQ&#10;SwUGAAAAAAYABgBZAQAAjQUAAAAA&#10;">
                <v:fill on="f" focussize="0,0"/>
                <v:stroke color="#000000" joinstyle="round" startarrow="block" endarrow="block"/>
                <v:imagedata o:title=""/>
                <o:lock v:ext="edit" aspectratio="f"/>
              </v:shape>
            </w:pict>
          </mc:Fallback>
        </mc:AlternateContent>
      </w:r>
      <w:r>
        <w:rPr>
          <w:rFonts w:hint="eastAsia" w:ascii="宋体" w:cs="宋体"/>
          <w:color w:val="FF0000"/>
          <w:sz w:val="21"/>
          <w:szCs w:val="21"/>
        </w:rPr>
        <w:t xml:space="preserve">                           策划                  实施              </w:t>
      </w:r>
    </w:p>
    <w:p w14:paraId="7B2D1A63">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7456" behindDoc="0" locked="0" layoutInCell="1" allowOverlap="1">
                <wp:simplePos x="0" y="0"/>
                <wp:positionH relativeFrom="column">
                  <wp:posOffset>1021080</wp:posOffset>
                </wp:positionH>
                <wp:positionV relativeFrom="paragraph">
                  <wp:posOffset>221615</wp:posOffset>
                </wp:positionV>
                <wp:extent cx="800100" cy="742950"/>
                <wp:effectExtent l="4445" t="4445" r="14605" b="14605"/>
                <wp:wrapNone/>
                <wp:docPr id="8" name="自选图形 15"/>
                <wp:cNvGraphicFramePr/>
                <a:graphic xmlns:a="http://schemas.openxmlformats.org/drawingml/2006/main">
                  <a:graphicData uri="http://schemas.microsoft.com/office/word/2010/wordprocessingShape">
                    <wps:wsp>
                      <wps:cNvSpPr/>
                      <wps:spPr>
                        <a:xfrm>
                          <a:off x="0" y="0"/>
                          <a:ext cx="8001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4145E612">
                            <w:pPr>
                              <w:spacing w:line="360" w:lineRule="exact"/>
                              <w:rPr>
                                <w:rFonts w:ascii="宋体" w:hAnsi="宋体"/>
                                <w:sz w:val="21"/>
                                <w:szCs w:val="21"/>
                              </w:rPr>
                            </w:pPr>
                            <w:r>
                              <w:rPr>
                                <w:rFonts w:hint="eastAsia" w:ascii="宋体" w:hAnsi="宋体"/>
                                <w:sz w:val="21"/>
                                <w:szCs w:val="21"/>
                              </w:rPr>
                              <w:t>策  划</w:t>
                            </w:r>
                          </w:p>
                          <w:p w14:paraId="122F4A7D">
                            <w:pPr>
                              <w:spacing w:line="360" w:lineRule="exact"/>
                              <w:rPr>
                                <w:rFonts w:ascii="宋体" w:hAnsi="宋体"/>
                                <w:sz w:val="21"/>
                                <w:szCs w:val="21"/>
                              </w:rPr>
                            </w:pPr>
                            <w:r>
                              <w:rPr>
                                <w:rFonts w:hint="eastAsia" w:ascii="宋体" w:hAnsi="宋体"/>
                                <w:sz w:val="21"/>
                                <w:szCs w:val="21"/>
                              </w:rPr>
                              <w:t>（6）</w:t>
                            </w:r>
                          </w:p>
                        </w:txbxContent>
                      </wps:txbx>
                      <wps:bodyPr upright="1"/>
                    </wps:wsp>
                  </a:graphicData>
                </a:graphic>
              </wp:anchor>
            </w:drawing>
          </mc:Choice>
          <mc:Fallback>
            <w:pict>
              <v:shape id="自选图形 15" o:spid="_x0000_s1026" o:spt="120" type="#_x0000_t120" style="position:absolute;left:0pt;margin-left:80.4pt;margin-top:17.45pt;height:58.5pt;width:63pt;z-index:251667456;mso-width-relative:page;mso-height-relative:page;" fillcolor="#FFFFFF" filled="t" stroked="t" coordsize="21600,21600" o:gfxdata="UEsDBAoAAAAAAIdO4kAAAAAAAAAAAAAAAAAEAAAAZHJzL1BLAwQUAAAACACHTuJAPCEGcNgAAAAK&#10;AQAADwAAAGRycy9kb3ducmV2LnhtbE2PwU7DMBBE70j8g7VI3KidloY2xKkAgVT1gmgrcXXjJYmw&#10;11HsNu3fs5zgODuj2Tfl6uydOOEQu0AasokCgVQH21GjYb97u1uAiMmQNS4QarhghFV1fVWawoaR&#10;PvC0TY3gEoqF0dCm1BdSxrpFb+Ik9EjsfYXBm8RyaKQdzMjl3smpUrn0piP+0JoeX1qsv7dHryGt&#10;L27Tje7dP7w+fY6z5/masNf69iZTjyASntNfGH7xGR0qZjqEI9koHOtcMXrSMLtfguDAdJHz4cDO&#10;PFuCrEr5f0L1A1BLAwQUAAAACACHTuJAsjGC3BICAAAzBAAADgAAAGRycy9lMm9Eb2MueG1srVPN&#10;jtMwEL4j8Q6W7zRpRWE3arqHlnJBsNLCA7i2k1jynzxuk964IZ6BG0feAd5mJXgLxk7p/sChB3Jw&#10;xvbMN/N9M15cDUaTvQygnK3pdFJSIi13Qtm2ph/eb55dUAKRWcG0s7KmBwn0avn0yaL3lZy5zmkh&#10;A0EQC1Xva9rF6KuiAN5Jw2DivLR42bhgWMRtaAsRWI/oRhezsnxR9C4IHxyXAHi6Hi/pETGcA+ia&#10;RnG5dnxnpI0japCaRaQEnfJAl7nappE8vmsakJHomiLTmFdMgvY2rcVywao2MN8pfiyBnVPCI06G&#10;KYtJT1BrFhnZBfUXlFE8OHBNnHBnipFIVgRZTMtH2tx0zMvMBaUGfxId/h8sf7u/DkSJmmLbLTPY&#10;8J+fvv36+Pn2y4/b71/JdJ4k6j1U6Hnjr8NxB2gmvkMTTPojEzJkWQ8nWeUQCcfDixKpoeAcr14+&#10;n13Os+zFXbAPEF9LZ0gyatpo1686FuLKWYsddCFLy/ZvIGJ6DPwTkDKD00pslNZ5E9rtSgeyZ9jv&#10;Tf5S/RjywE1b0tf0cj6bY1UMh7jB4UHTeBQCbJvzPYiA+8Bl/v4FnApbM+jGAjJCcmNVJ5l4ZQWJ&#10;B48SW3xZNJVgpKBES3yIycqekSl9jidy0happd6M3UhWHLYDwiRz68QBe7vzQbUdyjrNBacbnKWs&#10;yXHu07De32fQu7e+/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IQZw2AAAAAoBAAAPAAAAAAAA&#10;AAEAIAAAACIAAABkcnMvZG93bnJldi54bWxQSwECFAAUAAAACACHTuJAsjGC3BICAAAzBAAADgAA&#10;AAAAAAABACAAAAAnAQAAZHJzL2Uyb0RvYy54bWxQSwUGAAAAAAYABgBZAQAAqwUAAAAA&#10;">
                <v:fill on="t" focussize="0,0"/>
                <v:stroke color="#000000" joinstyle="round"/>
                <v:imagedata o:title=""/>
                <o:lock v:ext="edit" aspectratio="f"/>
                <v:textbox>
                  <w:txbxContent>
                    <w:p w14:paraId="4145E612">
                      <w:pPr>
                        <w:spacing w:line="360" w:lineRule="exact"/>
                        <w:rPr>
                          <w:rFonts w:ascii="宋体" w:hAnsi="宋体"/>
                          <w:sz w:val="21"/>
                          <w:szCs w:val="21"/>
                        </w:rPr>
                      </w:pPr>
                      <w:r>
                        <w:rPr>
                          <w:rFonts w:hint="eastAsia" w:ascii="宋体" w:hAnsi="宋体"/>
                          <w:sz w:val="21"/>
                          <w:szCs w:val="21"/>
                        </w:rPr>
                        <w:t>策  划</w:t>
                      </w:r>
                    </w:p>
                    <w:p w14:paraId="122F4A7D">
                      <w:pPr>
                        <w:spacing w:line="360" w:lineRule="exact"/>
                        <w:rPr>
                          <w:rFonts w:ascii="宋体" w:hAnsi="宋体"/>
                          <w:sz w:val="21"/>
                          <w:szCs w:val="21"/>
                        </w:rPr>
                      </w:pPr>
                      <w:r>
                        <w:rPr>
                          <w:rFonts w:hint="eastAsia" w:ascii="宋体" w:hAnsi="宋体"/>
                          <w:sz w:val="21"/>
                          <w:szCs w:val="21"/>
                        </w:rPr>
                        <w:t>（6）</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8480" behindDoc="0" locked="0" layoutInCell="1" allowOverlap="1">
                <wp:simplePos x="0" y="0"/>
                <wp:positionH relativeFrom="column">
                  <wp:posOffset>3507105</wp:posOffset>
                </wp:positionH>
                <wp:positionV relativeFrom="paragraph">
                  <wp:posOffset>165100</wp:posOffset>
                </wp:positionV>
                <wp:extent cx="828675" cy="742950"/>
                <wp:effectExtent l="4445" t="4445" r="5080" b="14605"/>
                <wp:wrapNone/>
                <wp:docPr id="9" name="自选图形 16"/>
                <wp:cNvGraphicFramePr/>
                <a:graphic xmlns:a="http://schemas.openxmlformats.org/drawingml/2006/main">
                  <a:graphicData uri="http://schemas.microsoft.com/office/word/2010/wordprocessingShape">
                    <wps:wsp>
                      <wps:cNvSpPr/>
                      <wps:spPr>
                        <a:xfrm>
                          <a:off x="0" y="0"/>
                          <a:ext cx="828675"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245CECD1">
                            <w:pPr>
                              <w:spacing w:line="360" w:lineRule="exact"/>
                              <w:rPr>
                                <w:rFonts w:ascii="宋体" w:hAnsi="宋体"/>
                                <w:sz w:val="21"/>
                                <w:szCs w:val="21"/>
                              </w:rPr>
                            </w:pPr>
                            <w:r>
                              <w:rPr>
                                <w:rFonts w:hint="eastAsia" w:ascii="宋体" w:hAnsi="宋体"/>
                                <w:sz w:val="21"/>
                                <w:szCs w:val="21"/>
                              </w:rPr>
                              <w:t>绩效评价（9）</w:t>
                            </w:r>
                          </w:p>
                        </w:txbxContent>
                      </wps:txbx>
                      <wps:bodyPr upright="1"/>
                    </wps:wsp>
                  </a:graphicData>
                </a:graphic>
              </wp:anchor>
            </w:drawing>
          </mc:Choice>
          <mc:Fallback>
            <w:pict>
              <v:shape id="自选图形 16" o:spid="_x0000_s1026" o:spt="120" type="#_x0000_t120" style="position:absolute;left:0pt;margin-left:276.15pt;margin-top:13pt;height:58.5pt;width:65.25pt;z-index:251668480;mso-width-relative:page;mso-height-relative:page;" fillcolor="#FFFFFF" filled="t" stroked="t" coordsize="21600,21600" o:gfxdata="UEsDBAoAAAAAAIdO4kAAAAAAAAAAAAAAAAAEAAAAZHJzL1BLAwQUAAAACACHTuJA4HLt1NgAAAAK&#10;AQAADwAAAGRycy9kb3ducmV2LnhtbE2PwU7DMBBE70j8g7VI3KjdhIQqxKkAgVRxqShIXN14SSLs&#10;dRS7Tfv3LCc4rvZp5k29PnknjjjFIZCG5UKBQGqDHajT8PH+crMCEZMha1wg1HDGCOvm8qI2lQ0z&#10;veFxlzrBIRQro6FPaaykjG2P3sRFGJH49xUmbxKfUyftZGYO905mSpXSm4G4oTcjPvXYfu8OXkPa&#10;nN3rMLutv3t++Jzzx2JDOGp9fbVU9yASntIfDL/6rA4NO+3DgWwUTkNRZDmjGrKSNzFQrjLesmfy&#10;Nlcgm1r+n9D8AFBLAwQUAAAACACHTuJA+wU2YxICAAAzBAAADgAAAGRycy9lMm9Eb2MueG1srVNL&#10;jhMxEN0jcQfLe9JJRDKZVjqzSAgbBCMNHMCx3d2W/JPLSXd27BBnYMeSO8BtRoJbUHZC5rvIgl64&#10;y3bVq3qvyvOr3miykwGUsxUdDYaUSMudULap6KeP61czSiAyK5h2VlZ0L4FeLV6+mHe+lGPXOi1k&#10;IAhioex8RdsYfVkUwFtpGAyclxYvaxcMi7gNTSEC6xDd6GI8HE6LzgXhg+MSAE9Xh0t6RAznALq6&#10;VlyuHN8aaeMBNUjNIlKCVnmgi1xtXUseP9Q1yEh0RZFpzCsmQXuT1mIxZ2UTmG8VP5bAzinhESfD&#10;lMWkJ6gVi4xsg3oCZRQPDlwdB9yZ4kAkK4IsRsNH2ty0zMvMBaUGfxId/h8sf7+7DkSJil5SYpnB&#10;hv/+8uPP56+3337d/vxORtMkUeehRM8bfx2OO0Az8e3rYNIfmZA+y7o/ySr7SDgezsaz6cWEEo5X&#10;F6/Hl5Mse3EX7APEt9IZkoyK1tp1y5aFuHTWYgddyNKy3TuImB4D/wWkzOC0Emuldd6EZrPUgewY&#10;9nudv1Q/hjxw05Z0yHgyTlUxHOIahwdN41EIsE3O9yAC7gMP8/cccCpsxaA9FJARkhsrW8nEGytI&#10;3HuU2OLLoqkEIwUlWuJDTFb2jEzpczyRk7ZILfXm0I1kxX7TI0wyN07ssbdbH1TToqyjXHC6wVnK&#10;mhznPg3r/X0GvXvri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cu3U2AAAAAoBAAAPAAAAAAAA&#10;AAEAIAAAACIAAABkcnMvZG93bnJldi54bWxQSwECFAAUAAAACACHTuJA+wU2YxICAAAzBAAADgAA&#10;AAAAAAABACAAAAAnAQAAZHJzL2Uyb0RvYy54bWxQSwUGAAAAAAYABgBZAQAAqwUAAAAA&#10;">
                <v:fill on="t" focussize="0,0"/>
                <v:stroke color="#000000" joinstyle="round"/>
                <v:imagedata o:title=""/>
                <o:lock v:ext="edit" aspectratio="f"/>
                <v:textbox>
                  <w:txbxContent>
                    <w:p w14:paraId="245CECD1">
                      <w:pPr>
                        <w:spacing w:line="360" w:lineRule="exact"/>
                        <w:rPr>
                          <w:rFonts w:ascii="宋体" w:hAnsi="宋体"/>
                          <w:sz w:val="21"/>
                          <w:szCs w:val="21"/>
                        </w:rPr>
                      </w:pPr>
                      <w:r>
                        <w:rPr>
                          <w:rFonts w:hint="eastAsia" w:ascii="宋体" w:hAnsi="宋体"/>
                          <w:sz w:val="21"/>
                          <w:szCs w:val="21"/>
                        </w:rPr>
                        <w:t>绩效评价（9）</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65408" behindDoc="0" locked="0" layoutInCell="1" allowOverlap="1">
                <wp:simplePos x="0" y="0"/>
                <wp:positionH relativeFrom="column">
                  <wp:posOffset>2249805</wp:posOffset>
                </wp:positionH>
                <wp:positionV relativeFrom="paragraph">
                  <wp:posOffset>221615</wp:posOffset>
                </wp:positionV>
                <wp:extent cx="876300" cy="742950"/>
                <wp:effectExtent l="4445" t="4445" r="14605" b="14605"/>
                <wp:wrapNone/>
                <wp:docPr id="6" name="自选图形 17"/>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603AA732">
                            <w:pPr>
                              <w:spacing w:line="360" w:lineRule="exact"/>
                              <w:rPr>
                                <w:rFonts w:ascii="宋体" w:hAnsi="宋体"/>
                                <w:sz w:val="21"/>
                                <w:szCs w:val="21"/>
                              </w:rPr>
                            </w:pPr>
                            <w:r>
                              <w:rPr>
                                <w:rFonts w:hint="eastAsia" w:ascii="宋体" w:hAnsi="宋体"/>
                                <w:sz w:val="21"/>
                                <w:szCs w:val="21"/>
                              </w:rPr>
                              <w:t>领导作用（5）</w:t>
                            </w:r>
                          </w:p>
                        </w:txbxContent>
                      </wps:txbx>
                      <wps:bodyPr upright="1"/>
                    </wps:wsp>
                  </a:graphicData>
                </a:graphic>
              </wp:anchor>
            </w:drawing>
          </mc:Choice>
          <mc:Fallback>
            <w:pict>
              <v:shape id="自选图形 17" o:spid="_x0000_s1026" o:spt="120" type="#_x0000_t120" style="position:absolute;left:0pt;margin-left:177.15pt;margin-top:17.45pt;height:58.5pt;width:69pt;z-index:251665408;mso-width-relative:page;mso-height-relative:page;" fillcolor="#FFFFFF" filled="t" stroked="t" coordsize="21600,21600" o:gfxdata="UEsDBAoAAAAAAIdO4kAAAAAAAAAAAAAAAAAEAAAAZHJzL1BLAwQUAAAACACHTuJA5L679dgAAAAK&#10;AQAADwAAAGRycy9kb3ducmV2LnhtbE2PTU/DMAyG70j8h8hI3FjatYW1NJ0AgTRxQYxJXLPGtBWJ&#10;UzXZuv17zAlu/nj0+nG9PjkrjjiFwZOCdJGAQGq9GahTsPt4uVmBCFGT0dYTKjhjgHVzeVHryviZ&#10;3vG4jZ3gEAqVVtDHOFZShrZHp8PCj0i8+/KT05HbqZNm0jOHOyuXSXIrnR6IL/R6xKce2+/twSmI&#10;m7N9HWb75u6eHz7n7LHYEI5KXV+lyT2IiKf4B8OvPqtDw057fyAThFWQFXnGKBd5CYKBvFzyYM9k&#10;kZYgm1r+f6H5AVBLAwQUAAAACACHTuJAhDraYhQCAAAzBAAADgAAAGRycy9lMm9Eb2MueG1srVNL&#10;jhMxEN0jcQfLe9KdQJKZVjqzSAgbBCMNHMDxp9uSf7KddGfHDnEGdiy5A3ObkeAWlN0h84FFFvTC&#10;XbarXtV7VV5c9VqhPfdBWlPj8ajEiBtqmTRNjT9+2Ly4wChEYhhR1vAaH3jAV8vnzxadq/jEtlYx&#10;7hGAmFB1rsZtjK4qikBbrkkYWccNXArrNYmw9U3BPOkAXatiUpazorOeOW8pDwFO18MlPiL6cwCt&#10;EJLytaU7zU0cUD1XJAKl0EoX8DJXKwSn8b0QgUekagxMY14hCdjbtBbLBakaT1wr6bEEck4JTzhp&#10;Ig0kPUGtSSRo5+VfUFpSb4MVcUStLgYiWRFgMS6faHPTEsczF5A6uJPo4f/B0nf7a48kq/EMI0M0&#10;NPzn5++/Pn25+3p79+MbGs+TRJ0LFXjeuGt/3AUwE99eeJ3+wAT1WdbDSVbeR0Th8GI+e1mC4BSu&#10;5q8ml9Mse3Ef7HyIb7jVKBk1Fsp2q5b4uLLGQAetz9KS/dsQIT0E/glImYNVkm2kUnnjm+1KebQn&#10;0O9N/lL9EPLITRnU1fhyOplCVQSGWMDwgKkdCBFMk/M9iggPgcv8/Qs4FbYmoR0KyAjJjVQtJ+y1&#10;YSgeHEhs4GXhVILmDCPF4SEmK3tGItU5nsBJGaCWejN0I1mx3/YAk8ytZQfo7c552bQg6zgXnG5g&#10;lrImx7lPw/pwn0Hv3/r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u/XYAAAACgEAAA8AAAAA&#10;AAAAAQAgAAAAIgAAAGRycy9kb3ducmV2LnhtbFBLAQIUABQAAAAIAIdO4kCEOtpiFAIAADMEAAAO&#10;AAAAAAAAAAEAIAAAACcBAABkcnMvZTJvRG9jLnhtbFBLBQYAAAAABgAGAFkBAACtBQAAAAA=&#10;">
                <v:fill on="t" focussize="0,0"/>
                <v:stroke color="#000000" joinstyle="round"/>
                <v:imagedata o:title=""/>
                <o:lock v:ext="edit" aspectratio="f"/>
                <v:textbox>
                  <w:txbxContent>
                    <w:p w14:paraId="603AA732">
                      <w:pPr>
                        <w:spacing w:line="360" w:lineRule="exact"/>
                        <w:rPr>
                          <w:rFonts w:ascii="宋体" w:hAnsi="宋体"/>
                          <w:sz w:val="21"/>
                          <w:szCs w:val="21"/>
                        </w:rPr>
                      </w:pPr>
                      <w:r>
                        <w:rPr>
                          <w:rFonts w:hint="eastAsia" w:ascii="宋体" w:hAnsi="宋体"/>
                          <w:sz w:val="21"/>
                          <w:szCs w:val="21"/>
                        </w:rPr>
                        <w:t>领导作用（5）</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7936" behindDoc="0" locked="0" layoutInCell="1" allowOverlap="1">
                <wp:simplePos x="0" y="0"/>
                <wp:positionH relativeFrom="column">
                  <wp:posOffset>-150495</wp:posOffset>
                </wp:positionH>
                <wp:positionV relativeFrom="paragraph">
                  <wp:posOffset>165100</wp:posOffset>
                </wp:positionV>
                <wp:extent cx="790575" cy="275590"/>
                <wp:effectExtent l="0" t="0" r="9525" b="10160"/>
                <wp:wrapNone/>
                <wp:docPr id="28" name="文本框 18"/>
                <wp:cNvGraphicFramePr/>
                <a:graphic xmlns:a="http://schemas.openxmlformats.org/drawingml/2006/main">
                  <a:graphicData uri="http://schemas.microsoft.com/office/word/2010/wordprocessingShape">
                    <wps:wsp>
                      <wps:cNvSpPr txBox="1"/>
                      <wps:spPr>
                        <a:xfrm>
                          <a:off x="0" y="0"/>
                          <a:ext cx="790575" cy="275590"/>
                        </a:xfrm>
                        <a:prstGeom prst="rect">
                          <a:avLst/>
                        </a:prstGeom>
                        <a:solidFill>
                          <a:srgbClr val="FFFFFF"/>
                        </a:solidFill>
                        <a:ln>
                          <a:noFill/>
                        </a:ln>
                      </wps:spPr>
                      <wps:txbx>
                        <w:txbxContent>
                          <w:p w14:paraId="1917D0DD">
                            <w:pPr>
                              <w:rPr>
                                <w:color w:val="FF0000"/>
                              </w:rPr>
                            </w:pPr>
                            <w:r>
                              <w:rPr>
                                <w:rFonts w:hint="eastAsia"/>
                                <w:color w:val="FF0000"/>
                                <w:sz w:val="21"/>
                                <w:szCs w:val="21"/>
                              </w:rPr>
                              <w:t>顾客要求</w:t>
                            </w:r>
                          </w:p>
                          <w:p w14:paraId="25533CB5">
                            <w:pPr>
                              <w:ind w:firstLine="420" w:firstLineChars="150"/>
                            </w:pPr>
                          </w:p>
                        </w:txbxContent>
                      </wps:txbx>
                      <wps:bodyPr upright="1"/>
                    </wps:wsp>
                  </a:graphicData>
                </a:graphic>
              </wp:anchor>
            </w:drawing>
          </mc:Choice>
          <mc:Fallback>
            <w:pict>
              <v:shape id="文本框 18" o:spid="_x0000_s1026" o:spt="202" type="#_x0000_t202" style="position:absolute;left:0pt;margin-left:-11.85pt;margin-top:13pt;height:21.7pt;width:62.25pt;z-index:251687936;mso-width-relative:page;mso-height-relative:page;" fillcolor="#FFFFFF" filled="t" stroked="f" coordsize="21600,21600" o:gfxdata="UEsDBAoAAAAAAIdO4kAAAAAAAAAAAAAAAAAEAAAAZHJzL1BLAwQUAAAACACHTuJA9v50AdcAAAAJ&#10;AQAADwAAAGRycy9kb3ducmV2LnhtbE2PQW7CMBBF95V6B2sqdVOBTQpJCXGQWqlVt1AO4MRDEhGP&#10;o9gQuH2HVbsczdf/7xXbq+vFBcfQedKwmCsQSLW3HTUaDj+fszcQIRqypveEGm4YYFs+PhQmt36i&#10;HV72sRFcQiE3GtoYh1zKULfoTJj7AYl/Rz86E/kcG2lHM3G562WiVCqd6YgXWjPgR4v1aX92Go7f&#10;08tqPVVf8ZDtlum76bLK37R+flqoDYiI1/gXhjs+o0PJTJU/kw2i1zBLXjOOakhSdroHlGKXSkO6&#10;XoIsC/nfoPwFUEsDBBQAAAAIAIdO4kBPp9W3wwEAAHgDAAAOAAAAZHJzL2Uyb0RvYy54bWytU8GO&#10;0zAQvSPxD5bvNGml0t2o6UpQlQsCpIUPcB0nsWR7LI/bpD8Af8CJC3e+q9/B2Ol2YbnsgRwce+b5&#10;ed4be303WsOOKqAGV/P5rORMOQmNdl3Nv3zevbrhDKNwjTDgVM1PCvnd5uWL9eArtYAeTKMCIxKH&#10;1eBr3sfoq6JA2SsrcAZeOUq2EKyItAxd0QQxELs1xaIsXxcDhMYHkAqRotspyS+M4TmE0LZaqi3I&#10;g1UuTqxBGRFJEvbaI9/kattWyfixbVFFZmpOSmMe6RCa79NYbNai6oLwvZaXEsRzSniiyQrt6NAr&#10;1VZEwQ5B/0NltQyA0MaZBFtMQrIjpGJePvHmvhdeZS1kNfqr6fj/aOWH46fAdFPzBfXdCUsdP3//&#10;dv7x6/zzK5vfJIMGjxXh7j0h4/gGRro2D3GkYNI9tsGmPylilCd7T1d71RiZpODqtlyulpxJSi1W&#10;y+Vttr943OwDxncKLEuTmgfqXjZVHN9jpEII+gBJZyEY3ey0MXkRuv1bE9hRUKd3+Us10pa/YMYl&#10;sIO0bUqnSJEkTlLSLI778aJ7D82JZB980F1PNWXhGU4NyfSXy5M6/uc6kz4+mM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v50AdcAAAAJAQAADwAAAAAAAAABACAAAAAiAAAAZHJzL2Rvd25yZXYu&#10;eG1sUEsBAhQAFAAAAAgAh07iQE+n1bfDAQAAeAMAAA4AAAAAAAAAAQAgAAAAJgEAAGRycy9lMm9E&#10;b2MueG1sUEsFBgAAAAAGAAYAWQEAAFsFAAAAAA==&#10;">
                <v:fill on="t" focussize="0,0"/>
                <v:stroke on="f"/>
                <v:imagedata o:title=""/>
                <o:lock v:ext="edit" aspectratio="f"/>
                <v:textbox>
                  <w:txbxContent>
                    <w:p w14:paraId="1917D0DD">
                      <w:pPr>
                        <w:rPr>
                          <w:color w:val="FF0000"/>
                        </w:rPr>
                      </w:pPr>
                      <w:r>
                        <w:rPr>
                          <w:rFonts w:hint="eastAsia"/>
                          <w:color w:val="FF0000"/>
                          <w:sz w:val="21"/>
                          <w:szCs w:val="21"/>
                        </w:rPr>
                        <w:t>顾客要求</w:t>
                      </w:r>
                    </w:p>
                    <w:p w14:paraId="25533CB5">
                      <w:pPr>
                        <w:ind w:firstLine="420" w:firstLineChars="150"/>
                      </w:pP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2816" behindDoc="0" locked="0" layoutInCell="1" allowOverlap="1">
                <wp:simplePos x="0" y="0"/>
                <wp:positionH relativeFrom="column">
                  <wp:posOffset>4983480</wp:posOffset>
                </wp:positionH>
                <wp:positionV relativeFrom="paragraph">
                  <wp:posOffset>99695</wp:posOffset>
                </wp:positionV>
                <wp:extent cx="1066800" cy="466725"/>
                <wp:effectExtent l="0" t="0" r="0" b="9525"/>
                <wp:wrapNone/>
                <wp:docPr id="23" name="文本框 19"/>
                <wp:cNvGraphicFramePr/>
                <a:graphic xmlns:a="http://schemas.openxmlformats.org/drawingml/2006/main">
                  <a:graphicData uri="http://schemas.microsoft.com/office/word/2010/wordprocessingShape">
                    <wps:wsp>
                      <wps:cNvSpPr txBox="1"/>
                      <wps:spPr>
                        <a:xfrm>
                          <a:off x="0" y="0"/>
                          <a:ext cx="1066800" cy="466725"/>
                        </a:xfrm>
                        <a:prstGeom prst="rect">
                          <a:avLst/>
                        </a:prstGeom>
                        <a:solidFill>
                          <a:srgbClr val="FFFFFF"/>
                        </a:solidFill>
                        <a:ln>
                          <a:noFill/>
                        </a:ln>
                      </wps:spPr>
                      <wps:txbx>
                        <w:txbxContent>
                          <w:p w14:paraId="156A155F">
                            <w:pPr>
                              <w:rPr>
                                <w:color w:val="FF0000"/>
                                <w:sz w:val="21"/>
                                <w:szCs w:val="21"/>
                              </w:rPr>
                            </w:pPr>
                            <w:r>
                              <w:rPr>
                                <w:rFonts w:hint="eastAsia"/>
                                <w:color w:val="FF0000"/>
                                <w:sz w:val="21"/>
                                <w:szCs w:val="21"/>
                              </w:rPr>
                              <w:t>质量管理体系的结果</w:t>
                            </w:r>
                          </w:p>
                        </w:txbxContent>
                      </wps:txbx>
                      <wps:bodyPr upright="1"/>
                    </wps:wsp>
                  </a:graphicData>
                </a:graphic>
              </wp:anchor>
            </w:drawing>
          </mc:Choice>
          <mc:Fallback>
            <w:pict>
              <v:shape id="文本框 19" o:spid="_x0000_s1026" o:spt="202" type="#_x0000_t202" style="position:absolute;left:0pt;margin-left:392.4pt;margin-top:7.85pt;height:36.75pt;width:84pt;z-index:251682816;mso-width-relative:page;mso-height-relative:page;" fillcolor="#FFFFFF" filled="t" stroked="f" coordsize="21600,21600" o:gfxdata="UEsDBAoAAAAAAIdO4kAAAAAAAAAAAAAAAAAEAAAAZHJzL1BLAwQUAAAACACHTuJApQwCMtcAAAAJ&#10;AQAADwAAAGRycy9kb3ducmV2LnhtbE2PzU7DQAyE70i8w8pIXBDdNGqaH7KpBBKIa0sfwEncJCLr&#10;jbLbpn17zAmO4xnNfC53VzuqC81+cGxgvYpAETeuHbgzcPx6f85A+YDc4uiYDNzIw666vyuxaN3C&#10;e7ocQqekhH2BBvoQpkJr3/Rk0a/cRCzeyc0Wg8i50+2Mi5TbUcdRtNUWB5aFHid666n5PpytgdPn&#10;8pTkS/0Rjul+s33FIa3dzZjHh3X0AirQNfyF4Rdf0KESptqdufVqNJBmG0EPYiQpKAnkSSyH2kCW&#10;x6CrUv//oPoBUEsDBBQAAAAIAIdO4kAelkl7wQEAAHkDAAAOAAAAZHJzL2Uyb0RvYy54bWytU0uu&#10;0zAUnSOxB8tz6rRAeERNnwRVmSBAerAA13ESS/7p2m3SDcAOGDFhzrq6Dq6dvL4PkzcgA8e+9/j4&#10;nnPt9fVoNDlKCMrZmi4XBSXSCtco29X029fdiytKQuS24dpZWdOTDPR68/zZevCVXLne6UYCQRIb&#10;qsHXtI/RV4wF0UvDw8J5aTHZOjA84hI61gAfkN1otiqKkg0OGg9OyBAwup2SdGaEpxC6tlVCbp04&#10;GGnjxApS84iSQq98oJtcbdtKET+3bZCR6Jqi0phHPATn+zSyzZpXHXDfKzGXwJ9SwiNNhiuLh16o&#10;tjxycgD1D5VRAlxwbVwIZ9gkJDuCKpbFI29ueu5l1oJWB38xPfw/WvHp+AWIamq6ekmJ5QY7fv75&#10;4/zrz/n3d7J8mwwafKgQd+MRGcd3bsRrcxsPGEy6xxZM+qMignm093SxV46RiLSpKMurAlMCc6/K&#10;8s3qdaJhd7s9hPhBOkPSpKaA7cuu8uPHECfoLSQdFpxWzU5pnRfQ7d9rIEeOrd7lb2Z/ANM2ga1L&#10;2ybGFGFJ46QlzeK4H2fhe9ecUPfBg+p6rCkrz3DsSC5+vj2p5ffXmfTuxW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UMAjLXAAAACQEAAA8AAAAAAAAAAQAgAAAAIgAAAGRycy9kb3ducmV2Lnht&#10;bFBLAQIUABQAAAAIAIdO4kAelkl7wQEAAHkDAAAOAAAAAAAAAAEAIAAAACYBAABkcnMvZTJvRG9j&#10;LnhtbFBLBQYAAAAABgAGAFkBAABZBQAAAAA=&#10;">
                <v:fill on="t" focussize="0,0"/>
                <v:stroke on="f"/>
                <v:imagedata o:title=""/>
                <o:lock v:ext="edit" aspectratio="f"/>
                <v:textbox>
                  <w:txbxContent>
                    <w:p w14:paraId="156A155F">
                      <w:pPr>
                        <w:rPr>
                          <w:color w:val="FF0000"/>
                          <w:sz w:val="21"/>
                          <w:szCs w:val="21"/>
                        </w:rPr>
                      </w:pPr>
                      <w:r>
                        <w:rPr>
                          <w:rFonts w:hint="eastAsia"/>
                          <w:color w:val="FF0000"/>
                          <w:sz w:val="21"/>
                          <w:szCs w:val="21"/>
                        </w:rPr>
                        <w:t>质量管理体系的结果</w:t>
                      </w:r>
                    </w:p>
                  </w:txbxContent>
                </v:textbox>
              </v:shape>
            </w:pict>
          </mc:Fallback>
        </mc:AlternateContent>
      </w:r>
      <w:r>
        <w:rPr>
          <w:rFonts w:hint="eastAsia" w:ascii="宋体" w:cs="宋体"/>
          <w:color w:val="FF0000"/>
          <w:sz w:val="21"/>
          <w:szCs w:val="21"/>
        </w:rPr>
        <w:t xml:space="preserve">                                                                 </w:t>
      </w:r>
    </w:p>
    <w:p w14:paraId="1808F40C">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4864" behindDoc="0" locked="0" layoutInCell="1" allowOverlap="1">
                <wp:simplePos x="0" y="0"/>
                <wp:positionH relativeFrom="column">
                  <wp:posOffset>4769485</wp:posOffset>
                </wp:positionH>
                <wp:positionV relativeFrom="paragraph">
                  <wp:posOffset>207645</wp:posOffset>
                </wp:positionV>
                <wp:extent cx="95250" cy="429895"/>
                <wp:effectExtent l="86995" t="0" r="65405" b="0"/>
                <wp:wrapNone/>
                <wp:docPr id="25" name="自选图形 20"/>
                <wp:cNvGraphicFramePr/>
                <a:graphic xmlns:a="http://schemas.openxmlformats.org/drawingml/2006/main">
                  <a:graphicData uri="http://schemas.microsoft.com/office/word/2010/wordprocessingShape">
                    <wps:wsp>
                      <wps:cNvSpPr/>
                      <wps:spPr>
                        <a:xfrm rot="19800000">
                          <a:off x="0" y="0"/>
                          <a:ext cx="95250" cy="429895"/>
                        </a:xfrm>
                        <a:prstGeom prst="downArrow">
                          <a:avLst>
                            <a:gd name="adj1" fmla="val 50000"/>
                            <a:gd name="adj2" fmla="val 1128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0" o:spid="_x0000_s1026" o:spt="67" type="#_x0000_t67" style="position:absolute;left:0pt;margin-left:375.55pt;margin-top:16.35pt;height:33.85pt;width:7.5pt;rotation:-1966080f;z-index:251684864;mso-width-relative:page;mso-height-relative:page;" fillcolor="#FFFFFF" filled="t" stroked="t" coordsize="21600,21600" o:gfxdata="UEsDBAoAAAAAAIdO4kAAAAAAAAAAAAAAAAAEAAAAZHJzL1BLAwQUAAAACACHTuJAw4I7IdgAAAAK&#10;AQAADwAAAGRycy9kb3ducmV2LnhtbE2PwU7DMAyG70i8Q2QkbizpGO1Umu4AKkLcNmDjmDWmLTRO&#10;adJtvD3mBEfbn35/f7E6uV4ccAydJw3JTIFAqr3tqNHw8lxdLUGEaMia3hNq+MYAq/L8rDC59Uda&#10;42ETG8EhFHKjoY1xyKUMdYvOhJkfkPj27kdnIo9jI+1ojhzuejlXKpXOdMQfWjPgXYv152ZyGnZh&#10;vZPp17Z76qaH6uNVPt6/VQutLy8SdQsi4in+wfCrz+pQstPeT2SD6DVkN0nCqIbreQaCgSxNebFn&#10;UqkFyLKQ/yuUP1BLAwQUAAAACACHTuJAXX1uAzUCAACKBAAADgAAAGRycy9lMm9Eb2MueG1srVTL&#10;jtMwFN0j8Q+W9zSPoaiNmo4QpWwQjDTwAa7tJEZ+yXabdscO8Q3sWPIPw9+MBH/BtRM67bDpgiyi&#10;6/j63HPO9c3ieq8k2nHnhdE1LiY5RlxTw4Rua/zxw/rZDCMfiGZEGs1rfOAeXy+fPln0tuKl6Yxk&#10;3CEA0b7qbY27EGyVZZ52XBE/MZZr2GyMUyTA0rUZc6QHdCWzMs9fZL1xzDpDuffwdTVs4hHRXQJo&#10;mkZQvjJ0q7gOA6rjkgSQ5DthPV4mtk3DaXjfNJ4HJGsMSkN6QxGIN/GdLRekah2xnaAjBXIJhUea&#10;FBEaih6hViQQtHXiHyglqDPeNGFCjcoGIckRUFHkj7y57YjlSQtY7e3RdP//YOm73Y1DgtW4nGKk&#10;iYKO//ry4/fnr/ffft7ffUdl8qi3voLUW3vjwLG48hBGwfvGKeQMGFvMZ3l8kg+gDO2TzYejzXwf&#10;EIWP82k5Bf8p7Dwv57P5NHYhG6AipHU+vOFGoRjUmJlev3TO9AmY7N76kJxmI13CPhUYNUpC43ZE&#10;omkiMTT2JKc8zSmKcnZ1NdYdIYHB38oR3xsp2FpImRau3bySDgF+jdfpGQ+fpUmN+kEfyCMwHA1c&#10;SgiVBYO9bpOCsxP+FDjZl/wGLmdpkdiK+G4gkLZifVIpEbhLUccJe60ZCgcLPdQwuziSUZxhJDmM&#10;eoxSZiBCXpIJJKSGzjy0O0Ybww5wZbbWibaLbU9GxB24oqmP4zjFGThdJ6SHX8j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OCOyHYAAAACgEAAA8AAAAAAAAAAQAgAAAAIgAAAGRycy9kb3ducmV2&#10;LnhtbFBLAQIUABQAAAAIAIdO4kBdfW4DNQIAAIoEAAAOAAAAAAAAAAEAIAAAACcBAABkcnMvZTJv&#10;RG9jLnhtbFBLBQYAAAAABgAGAFkBAADOBQAAAAA=&#10;" adj="16201,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0768" behindDoc="0" locked="0" layoutInCell="1" allowOverlap="1">
                <wp:simplePos x="0" y="0"/>
                <wp:positionH relativeFrom="column">
                  <wp:posOffset>4421505</wp:posOffset>
                </wp:positionH>
                <wp:positionV relativeFrom="paragraph">
                  <wp:posOffset>135890</wp:posOffset>
                </wp:positionV>
                <wp:extent cx="495300" cy="76200"/>
                <wp:effectExtent l="13335" t="6985" r="24765" b="12065"/>
                <wp:wrapNone/>
                <wp:docPr id="21" name="自选图形 21"/>
                <wp:cNvGraphicFramePr/>
                <a:graphic xmlns:a="http://schemas.openxmlformats.org/drawingml/2006/main">
                  <a:graphicData uri="http://schemas.microsoft.com/office/word/2010/wordprocessingShape">
                    <wps:wsp>
                      <wps:cNvSpPr/>
                      <wps:spPr>
                        <a:xfrm>
                          <a:off x="0" y="0"/>
                          <a:ext cx="495300" cy="76200"/>
                        </a:xfrm>
                        <a:prstGeom prst="leftRightArrow">
                          <a:avLst>
                            <a:gd name="adj1" fmla="val 50000"/>
                            <a:gd name="adj2" fmla="val 13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1" o:spid="_x0000_s1026" o:spt="69" type="#_x0000_t69" style="position:absolute;left:0pt;margin-left:348.15pt;margin-top:10.7pt;height:6pt;width:39pt;z-index:251680768;mso-width-relative:page;mso-height-relative:page;" fillcolor="#FFFFFF" filled="t" stroked="t" coordsize="21600,21600" o:gfxdata="UEsDBAoAAAAAAIdO4kAAAAAAAAAAAAAAAAAEAAAAZHJzL1BLAwQUAAAACACHTuJAjQDcTNYAAAAJ&#10;AQAADwAAAGRycy9kb3ducmV2LnhtbE2PTU/DMAyG70j8h8hI3Fj6pQ5K0wkhOHFiY+KaNqataJyo&#10;ybb232NOcLT9+PXjerfYSZxxDqMjBekmAYHUOTNSr+Dj8Hp3DyJETUZPjlDBigF2zfVVrSvjLvSO&#10;533sBYdQqLSCIUZfSRm6Aa0OG+eRePblZqsjl3MvzawvHG4nmSVJKa0eiS8M2uPzgN33/mRZw4z+&#10;uJaH9SXrpHt7On76dsmVur1Jk0cQEZf4B8OvPu9Aw06tO5EJYlJQPpQ5owqytADBwHZbcKNVkOcF&#10;yKaW/z9ofgBQSwMEFAAAAAgAh07iQPUmZDItAgAAgAQAAA4AAABkcnMvZTJvRG9jLnhtbK1Uy47T&#10;MBTdI/EPlvc0aaEDEzUdIUrZIBgx8AGuH4mRX7Ldpt2xQ3wDO5b8A/zNSPAXXDsh0w6bLsgiubZv&#10;js8599qLq71WaMd9kNbUeDopMeKGWiZNU+MP79ePnmEUIjGMKGt4jQ884KvlwweLzlV8ZlurGPcI&#10;QEyoOlfjNkZXFUWgLdckTKzjBhaF9ZpEGPqmYJ50gK5VMSvLi6KznjlvKQ8BZlf9Ih4Q/TmAVghJ&#10;+crSreYm9qieKxJBUmilC3iZ2QrBaXwrROARqRqD0pjfsAnEm/QulgtSNZ64VtKBAjmHwj1NmkgD&#10;m45QKxIJ2nr5D5SW1NtgRZxQq4teSHYEVEzLe97ctMTxrAWsDm40Pfw/WPpmd+2RZDWeTTEyREPF&#10;f33+/vvTl9uvP29/fEMwDR51LlSQeuOu/TAKECbBe+F1+oIUtM++HkZf+T4iCpNPLuePS3CcwtLT&#10;C2iCBFnc/et8iK+41SgFNVZcxHeyaeNz722XbSW71yFmf9lAkrCPQFhoBeXaEYXmJTxDOY9yZsc5&#10;U2Axbj5AAo2/2yf8YJVka6lUHvhm80J5BPg1XudnYH6Spgzqanw5n81BIoEjIaAVIdQObA2myQpO&#10;/gjHwInTyOokLRFbkdD2BPJSr1DLyH1u3ZYT9tIwFA8OKmfgxOJERnOGkeJwwFOUMyOR6pxMMEQZ&#10;KE8qeV/kFG0sO0CjbJ1PhYF7IxuRVqAxczGHQ5Q6/3icke4uju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QDcTNYAAAAJAQAADwAAAAAAAAABACAAAAAiAAAAZHJzL2Rvd25yZXYueG1sUEsBAhQA&#10;FAAAAAgAh07iQPUmZDItAgAAgAQAAA4AAAAAAAAAAQAgAAAAJQEAAGRycy9lMm9Eb2MueG1sUEsF&#10;BgAAAAAGAAYAWQEAAMQFAAAAAA==&#10;" adj="4320,54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8720" behindDoc="0" locked="0" layoutInCell="1" allowOverlap="1">
                <wp:simplePos x="0" y="0"/>
                <wp:positionH relativeFrom="column">
                  <wp:posOffset>173355</wp:posOffset>
                </wp:positionH>
                <wp:positionV relativeFrom="paragraph">
                  <wp:posOffset>278765</wp:posOffset>
                </wp:positionV>
                <wp:extent cx="733425" cy="0"/>
                <wp:effectExtent l="0" t="57150" r="9525" b="57150"/>
                <wp:wrapNone/>
                <wp:docPr id="19" name="自选图形 22"/>
                <wp:cNvGraphicFramePr/>
                <a:graphic xmlns:a="http://schemas.openxmlformats.org/drawingml/2006/main">
                  <a:graphicData uri="http://schemas.microsoft.com/office/word/2010/wordprocessingShape">
                    <wps:wsp>
                      <wps:cNvCnPr/>
                      <wps:spPr>
                        <a:xfrm>
                          <a:off x="0" y="0"/>
                          <a:ext cx="733425" cy="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13.65pt;margin-top:21.95pt;height:0pt;width:57.75pt;z-index:251678720;mso-width-relative:page;mso-height-relative:page;" filled="f" stroked="t" coordsize="21600,21600" o:gfxdata="UEsDBAoAAAAAAIdO4kAAAAAAAAAAAAAAAAAEAAAAZHJzL1BLAwQUAAAACACHTuJA6bIJJNcAAAAI&#10;AQAADwAAAGRycy9kb3ducmV2LnhtbE2PS2/CMBCE75X4D9Yi9VZsEkRpGgchpB76uBTofYmXJCVe&#10;h9g82l9fox7a486MZr/J5xfbihP1vnGsYTxSIIhLZxquNGzWT3czED4gG2wdk4Yv8jAvBjc5Zsad&#10;+Z1Oq1CJWMI+Qw11CF0mpS9rsuhHriOO3s71FkM8+0qaHs+x3LYyUWoqLTYcP9TY0bKmcr86Wg3p&#10;/lV9p5vFB1ZLNd09v6zfZodPrW+HY/UIItAl/IXhih/RoYhMW3dk40WrIblPY1LDJH0AcfUnSZyy&#10;/RVkkcv/A4ofUEsDBBQAAAAIAIdO4kCe1XXL/gEAAOkDAAAOAAAAZHJzL2Uyb0RvYy54bWytU82O&#10;0zAQviPxDpbvNG3KzxI13UPLckFQCXiAqeMklvwnj7dpb9wQz8CNI+8Ab7MSvAVjp9vCIqQ9kIMz&#10;9sx8M9/n8eJybzTbyYDK2ZrPJlPOpBWuUbar+ft3V48uOMMItgHtrKz5QSK/XD58sBh8JUvXO93I&#10;wAjEYjX4mvcx+qooUPTSAE6cl5acrQsGIm1DVzQBBkI3uiin06fF4ELjgxMSkU7Xo5MfEcN9AF3b&#10;KiHXTlwbaeOIGqSGSJSwVx75MnfbtlLEN22LMjJdc2Ia80pFyN6mtVguoOoC+F6JYwtwnxbucDKg&#10;LBU9Qa0hArsO6i8oo0Rw6No4Ec4UI5GsCLGYTe9o87YHLzMXkhr9SXT8f7Di9W4TmGpoEp5zZsHQ&#10;jf/4+PXnh083n7/ffPvCyjJpNHisKHRlN+G4Q78JifC+DSb9iQrbZ10PJ13lPjJBh8/m88flE87E&#10;ras45/mA8aV0hiWj5hgDqK6PK2ctXZ4Lsywr7F5hpMqUeJuQimrLhprPL2ZTuk8BNI0tTQGZxhMj&#10;tF1ORqdVc6W0TikYuu1KB7aDNBH5SwQJ+I+wVGUN2I9x2TXOSi+heWEbFg+epLL0RHjqwciGMy3p&#10;RSWLAKGKoPQ5MgYFttP/iKby2lIXSedR2WRtXXPIgudzmoDc53Fa04j9vs/Z5x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sgkk1wAAAAgBAAAPAAAAAAAAAAEAIAAAACIAAABkcnMvZG93bnJl&#10;di54bWxQSwECFAAUAAAACACHTuJAntV1y/4BAADpAwAADgAAAAAAAAABACAAAAAmAQAAZHJzL2Uy&#10;b0RvYy54bWxQSwUGAAAAAAYABgBZAQAAlgU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7A174E4F">
      <w:pPr>
        <w:spacing w:line="48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74624" behindDoc="0" locked="0" layoutInCell="1" allowOverlap="1">
                <wp:simplePos x="0" y="0"/>
                <wp:positionH relativeFrom="column">
                  <wp:posOffset>2927350</wp:posOffset>
                </wp:positionH>
                <wp:positionV relativeFrom="paragraph">
                  <wp:posOffset>610870</wp:posOffset>
                </wp:positionV>
                <wp:extent cx="1092835" cy="433705"/>
                <wp:effectExtent l="132715" t="0" r="119380" b="80010"/>
                <wp:wrapNone/>
                <wp:docPr id="15" name="自选图形 23"/>
                <wp:cNvGraphicFramePr/>
                <a:graphic xmlns:a="http://schemas.openxmlformats.org/drawingml/2006/main">
                  <a:graphicData uri="http://schemas.microsoft.com/office/word/2010/wordprocessingShape">
                    <wps:wsp>
                      <wps:cNvSpPr/>
                      <wps:spPr>
                        <a:xfrm rot="7200000">
                          <a:off x="0" y="0"/>
                          <a:ext cx="1092835" cy="43370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3" o:spid="_x0000_s1026" o:spt="100" style="position:absolute;left:0pt;margin-left:230.5pt;margin-top:48.1pt;height:34.15pt;width:86.05pt;rotation:7864320f;z-index:251674624;mso-width-relative:page;mso-height-relative:page;" fillcolor="#FFFFFF" filled="t" stroked="t" coordsize="21600,21600" o:gfxdata="UEsDBAoAAAAAAIdO4kAAAAAAAAAAAAAAAAAEAAAAZHJzL1BLAwQUAAAACACHTuJARX6IK9sAAAAK&#10;AQAADwAAAGRycy9kb3ducmV2LnhtbE2PXUvDMBSG7wX/QziCdy7p1mVbbTrEIQjCcHWCl1kT22Jz&#10;UpLsw3/v8UovD+fhfZ+3XF/cwE42xN6jgmwigFlsvOmxVbB/e7pbAotJo9GDR6vg20ZYV9dXpS6M&#10;P+POnurUMgrBWGgFXUpjwXlsOut0nPjRIv0+fXA60RlaboI+U7gb+FQIyZ3ukRo6PdrHzjZf9dEp&#10;2G52q3rB5+Ehf3/uN41YtK8fL0rd3mTiHliyl/QHw68+qUNFTgd/RBPZoCCXGW1JClZyCowAOZtl&#10;wA5EynwOvCr5/wnVD1BLAwQUAAAACACHTuJA0bSwalQDAAAkCAAADgAAAGRycy9lMm9Eb2MueG1s&#10;rVVLbtswEN0X6B0ILQsk+tqWjdhBUzfdBG2QuAdgJMoSQIoESVvKrruiZ+iuy96hvU2A9hYdUqJj&#10;O3abRb2wRuKb33vk8Oy8ZRStiVQVr6deeBp4iNQZz6t6OfU+Li5PUg8pjescU16TqXdPlHc+e/ni&#10;rBETEvGS05xIBEFqNWnE1Cu1FhPfV1lJGFanXJAaFgsuGdbwKpd+LnED0Rn1oyAY+g2XuZA8I0rB&#10;13m36PUR5XMC8qKoMjLn2YqRWndRJaFYQ0uqrITyZrbaoiCZ/lAUimhEpx50qu0/JAH7zvz7szM8&#10;WUosyirrS8DPKWGvJ4arGpJuQs2xxmglqyehWJVJrnihTzPO/K4Rywh0EQZ73NyWWBDbC1CtxIZ0&#10;9f/CZu/X1xJVOeyEgYdqzEDxX5+///705eHrz4cf31AUG44aoSYAvRXXsn9TYJqG20IyJDkQOwJ1&#10;4WdpgMZQa1m+37BMWo0y+BgG4yiNIVsGa0kcj4KBSeF3sUzMbKX0O8KZsfH6SulOpRwsy3HeF6rb&#10;Kw8VjIJir3wUh8MYNSgKh1BE77EBLvaB5RHgzRYwTJN4dDTkxRPkVkzoZunqxaVrIWvrvgewEDYn&#10;Lhp1jAmuDGMhlJ94CJhJhz0rALWkOI8w3fGIxgM4scZhNBwfcdlPEiZpZH0GSWL1hXL30+wmSWIg&#10;1WQJg7Sj918uYTp2LkPYGUcq28kSxgPnsp+ly9aTJ+FYmwNt9Yedp1uQFw61bkE9ONa6veg2gMDa&#10;cG/oMyZqgG+7PVDpLLPG+JosuEVpK4IteL/bRxSW2YKj5mbqDRJTcLmxlH5tRIVvqrHWyRg2+ziw&#10;JOMJrbfTxEmvNByInh4HeMzQ8W1T9GafYxPZpfpLpuigfC6Ze4qu+YO6OYx79tiDgjmMe/bYg6Q6&#10;TEa5It0UMErZcbBRz4i/NRIUp1V+WVFqFFNyefeGSrTGsCEu7a/ncgdGayP+eBCZuYPh2irgugCT&#10;CRh9ql7aqbXjsRPYTja3h3dgQio9x6rsCrBL3d5jlSbSjqGS4PxtnSN9L2C61nCreqYYRnIPUQKX&#10;sLEsUuOKPgcJhFAYCr4Zy90gNtYdz+9hmK+ErJYlHIvQEmFW4PKwjPYXnbmdtt9tpMfLffY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RX6IK9sAAAAKAQAADwAAAAAAAAABACAAAAAiAAAAZHJzL2Rv&#10;d25yZXYueG1sUEsBAhQAFAAAAAgAh07iQNG0sGpUAwAAJAgAAA4AAAAAAAAAAQAgAAAAKgEAAGRy&#10;cy9lMm9Eb2MueG1sUEsFBgAAAAAGAAYAWQEAAPAGA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1552" behindDoc="0" locked="0" layoutInCell="1" allowOverlap="1">
                <wp:simplePos x="0" y="0"/>
                <wp:positionH relativeFrom="column">
                  <wp:posOffset>1849755</wp:posOffset>
                </wp:positionH>
                <wp:positionV relativeFrom="paragraph">
                  <wp:posOffset>33020</wp:posOffset>
                </wp:positionV>
                <wp:extent cx="400050" cy="0"/>
                <wp:effectExtent l="0" t="38100" r="0" b="38100"/>
                <wp:wrapNone/>
                <wp:docPr id="12" name="自选图形 24"/>
                <wp:cNvGraphicFramePr/>
                <a:graphic xmlns:a="http://schemas.openxmlformats.org/drawingml/2006/main">
                  <a:graphicData uri="http://schemas.microsoft.com/office/word/2010/wordprocessingShape">
                    <wps:wsp>
                      <wps:cNvCnPr/>
                      <wps:spPr>
                        <a:xfrm>
                          <a:off x="0" y="0"/>
                          <a:ext cx="40005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4" o:spid="_x0000_s1026" o:spt="32" type="#_x0000_t32" style="position:absolute;left:0pt;margin-left:145.65pt;margin-top:2.6pt;height:0pt;width:31.5pt;z-index:251671552;mso-width-relative:page;mso-height-relative:page;" filled="f" stroked="t" coordsize="21600,21600" o:gfxdata="UEsDBAoAAAAAAIdO4kAAAAAAAAAAAAAAAAAEAAAAZHJzL1BLAwQUAAAACACHTuJACZzOQtYAAAAH&#10;AQAADwAAAGRycy9kb3ducmV2LnhtbE2OTU/DMBBE70j8B2uRuFEnKa1KiNMDHxLqBbXQStzceEki&#10;7HUUO03g17NwgePTjGZesZ6cFSfsQ+tJQTpLQCBV3rRUK3h9ebxagQhRk9HWEyr4xADr8vys0Lnx&#10;I23xtIu14BEKuVbQxNjlUoaqQafDzHdInL373unI2NfS9HrkcWdlliRL6XRL/NDoDu8arD52g1Ng&#10;af/8cNBPYbMcJtxv3r6kG++VurxIk1sQEaf4V4YffVaHkp2OfiAThFWQ3aRzripYZCA4ny+umY+/&#10;LMtC/vcvvwFQSwMEFAAAAAgAh07iQKMccIv4AQAA7AMAAA4AAABkcnMvZTJvRG9jLnhtbK1TzY7T&#10;MBC+I/EOlu80abVFEDXdQ8tyQVAJeICp4ySW/CePt2lv3BDPwI0j7wBvs9LyFoydbpfdvfRADs7Y&#10;M/PNfJ/Hi8u90WwnAypnaz6dlJxJK1yjbFfzz5+uXrziDCPYBrSzsuYHifxy+fzZYvCVnLne6UYG&#10;RiAWq8HXvI/RV0WBopcGcOK8tORsXTAQaRu6ogkwELrRxawsXxaDC40PTkhEOl2PTn5EDOcAurZV&#10;Qq6duDbSxhE1SA2RKGGvPPJl7rZtpYgf2hZlZLrmxDTmlYqQvU1rsVxA1QXwvRLHFuCcFh5xMqAs&#10;FT1BrSECuw7qCZRRIjh0bZwIZ4qRSFaEWEzLR9p87MHLzIWkRn8SHf8frHi/2wSmGpqEGWcWDN34&#10;7deff758u/n+++bXDza7SBoNHisKXdlNOO7Qb0IivG+DSX+iwvZZ18NJV7mPTNDhRVmWc1Jc3LmK&#10;+zwfML6VzrBk1BxjANX1ceWspctzYZplhd07jFSZEu8SUlFt2VDz1/PZnMCBhrGlISDTeCKEtsu5&#10;6LRqrpTWKQNDt13pwHaQBiJ/iR/hPghLRdaA/RiXXeOo9BKaN7Zh8eBJqRgU2E5LntowsuFMS3pU&#10;ySJQqCIofW40taAtdZKkHsVN1tY1h6x5PqchyL0eBzZN2b/7nH3/SJ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mczkLWAAAABwEAAA8AAAAAAAAAAQAgAAAAIgAAAGRycy9kb3ducmV2LnhtbFBL&#10;AQIUABQAAAAIAIdO4kCjHHCL+AEAAOwDAAAOAAAAAAAAAAEAIAAAACUBAABkcnMvZTJvRG9jLnht&#10;bFBLBQYAAAAABgAGAFkBAACPBQAAAAA=&#10;">
                <v:fill on="f" focussize="0,0"/>
                <v:stroke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2576" behindDoc="0" locked="0" layoutInCell="1" allowOverlap="1">
                <wp:simplePos x="0" y="0"/>
                <wp:positionH relativeFrom="column">
                  <wp:posOffset>3126105</wp:posOffset>
                </wp:positionH>
                <wp:positionV relativeFrom="paragraph">
                  <wp:posOffset>33020</wp:posOffset>
                </wp:positionV>
                <wp:extent cx="381000" cy="0"/>
                <wp:effectExtent l="0" t="38100" r="0" b="38100"/>
                <wp:wrapNone/>
                <wp:docPr id="13" name="自选图形 2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5" o:spid="_x0000_s1026" o:spt="32" type="#_x0000_t32" style="position:absolute;left:0pt;margin-left:246.15pt;margin-top:2.6pt;height:0pt;width:30pt;z-index:251672576;mso-width-relative:page;mso-height-relative:page;" filled="f" stroked="t" coordsize="21600,21600" o:gfxdata="UEsDBAoAAAAAAIdO4kAAAAAAAAAAAAAAAAAEAAAAZHJzL1BLAwQUAAAACACHTuJAcPdU2dUAAAAH&#10;AQAADwAAAGRycy9kb3ducmV2LnhtbE2OTU/DMBBE70j8B2uRuFGngVQlxOmBDwn1glpoJW7beEki&#10;7HUUO03g1+NygePTjGZesZqsEUfqfetYwXyWgCCunG65VvD2+nS1BOEDskbjmBR8kYdVeX5WYK7d&#10;yBs6bkMt4gj7HBU0IXS5lL5qyKKfuY44Zh+utxgi9rXUPY5x3BqZJslCWmw5PjTY0X1D1ed2sAoM&#10;714e9/js14thot36/Vva8UGpy4t5cgci0BT+ynDSj+pQRqeDG1h7YRTc3KbXsaogS0HEPMtOfPhl&#10;WRbyv3/5A1BLAwQUAAAACACHTuJALyhCYvcBAADsAwAADgAAAGRycy9lMm9Eb2MueG1srVNLjhMx&#10;EN0jcQfLe9KdjAYNrXRmkTBsEEQCDlCx3d2W/JPLk8+OHeIM7FhyB7jNSHALyu5MBoZNFvTCXXZV&#10;var3XJ5f761hWxVRe9fy6aTmTDnhpXZ9yz+8v3l2xRkmcBKMd6rlB4X8evH0yXwXGjXzgzdSRUYg&#10;DptdaPmQUmiqCsWgLODEB+XI2floIdE29pWMsCN0a6pZXT+vdj7KEL1QiHS6Gp38iBjPAfRdp4Va&#10;eXFrlUsjalQGElHCQQfki9Jt1ymR3nYdqsRMy4lpKisVIXuT12oxh6aPEAYtji3AOS084mRBOyp6&#10;glpBAnYb9T9QVovo0XdpIrytRiJFEWIxrR9p826AoAoXkhrDSXT8f7DizXYdmZY0CRecObB04z8/&#10;ffv18fPdlx9337+y2WXWaBewodClW8fjDsM6ZsL7Ltr8JypsX3Q9nHRV+8QEHV5cTeuaFBf3ruoh&#10;L0RMr5S3LBstxxRB90Naeufo8nycFllh+xoTVabE+4Rc1Di2a/mLS2qSCaBh7GgIyLSBCKHrSy56&#10;o+WNNiZnYOw3SxPZFvJAlC/zI9y/wnKRFeAwxhXXOCqDAvnSSZYOgZRKUYPrjeK5DaskZ0bRo8oW&#10;gUKTQJtzo6kF46iTLPUobrY2Xh6K5uWchqD0ehzYPGV/7kv2wyNd/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91TZ1QAAAAcBAAAPAAAAAAAAAAEAIAAAACIAAABkcnMvZG93bnJldi54bWxQSwEC&#10;FAAUAAAACACHTuJALyhCYvcBAADsAwAADgAAAAAAAAABACAAAAAkAQAAZHJzL2Uyb0RvYy54bWxQ&#10;SwUGAAAAAAYABgBZAQAAjQU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85888" behindDoc="0" locked="0" layoutInCell="1" allowOverlap="1">
                <wp:simplePos x="0" y="0"/>
                <wp:positionH relativeFrom="column">
                  <wp:posOffset>4754880</wp:posOffset>
                </wp:positionH>
                <wp:positionV relativeFrom="paragraph">
                  <wp:posOffset>-826770</wp:posOffset>
                </wp:positionV>
                <wp:extent cx="990600" cy="272415"/>
                <wp:effectExtent l="0" t="0" r="0" b="13335"/>
                <wp:wrapNone/>
                <wp:docPr id="26" name="文本框 26"/>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0593D4C4">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_x0000_s1026" o:spid="_x0000_s1026" o:spt="202" type="#_x0000_t202" style="position:absolute;left:0pt;margin-left:374.4pt;margin-top:-65.1pt;height:21.45pt;width:78pt;z-index:251685888;mso-width-relative:page;mso-height-relative:page;" fillcolor="#FFFFFF" filled="t" stroked="f" coordsize="21600,21600" o:gfxdata="UEsDBAoAAAAAAIdO4kAAAAAAAAAAAAAAAAAEAAAAZHJzL1BLAwQUAAAACACHTuJASXX9VtkAAAAM&#10;AQAADwAAAGRycy9kb3ducmV2LnhtbE2PTU7DMBCF90jcwRokNqi104YmDXEqgQRi29IDOPE0iYjH&#10;Uew27e0ZVrB8P3rzTbm7ukFccAq9Jw3JUoFAarztqdVw/Hpf5CBCNGTN4Ak13DDArrq/K01h/Ux7&#10;vBxiK3iEQmE0dDGOhZSh6dCZsPQjEmcnPzkTWU6ttJOZedwNcqXURjrTE1/ozIhvHTbfh7PTcPqc&#10;n563c/0Rj9k+3byaPqv9TevHh0S9gIh4jX9l+MVndKiYqfZnskEMGrI0Z/SoYZGs1QoEV7YqZatm&#10;K8/WIKtS/n+i+gFQSwMEFAAAAAgAh07iQOAt6+TAAQAAeAMAAA4AAABkcnMvZTJvRG9jLnhtbK1T&#10;TY7TMBTeI3EHy3vqNILCRE1HgqpsECDNcADXcRJL/tOz26QXgBuwYsOec/UcPDuZDjOzmQVZOPZ7&#10;nz+/73v2+no0mhwlBOVsTZeLghJphWuU7Wr67Xb36h0lIXLbcO2srOlJBnq9efliPfhKlq53upFA&#10;kMSGavA17WP0FWNB9NLwsHBeWky2DgyPuISONcAHZDealUWxYoODxoMTMgSMbqcknRnhOYSubZWQ&#10;WycORto4sYLUPKKk0Csf6CZX27ZSxC9tG2QkuqaoNOYRD8H5Po1ss+ZVB9z3Sswl8OeU8EiT4cri&#10;oReqLY+cHEA9oTJKgAuujQvhDJuEZEdQxbJ45M1Nz73MWtDq4C+mh/9HKz4fvwJRTU3LFSWWG+z4&#10;+eeP868/59/fCcbQoMGHCnE3HpFxfO9GvDZ38YDBpHtswaQ/KiKYR3tPF3vlGInA4NVVsSowIzBV&#10;vi1fL98kFna/2UOIH6UzJE1qCti9bCo/fgpxgt5B0lnBadXslNZ5Ad3+gwZy5NjpXf5m9gcwbRPY&#10;urRtYkwRliROUtIsjvtx1r13zQllHzyorseasvAMx4bk4ufLkzr+7zqT3j+Y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df1W2QAAAAwBAAAPAAAAAAAAAAEAIAAAACIAAABkcnMvZG93bnJldi54&#10;bWxQSwECFAAUAAAACACHTuJA4C3r5MABAAB4AwAADgAAAAAAAAABACAAAAAoAQAAZHJzL2Uyb0Rv&#10;Yy54bWxQSwUGAAAAAAYABgBZAQAAWgUAAAAA&#10;">
                <v:fill on="t" focussize="0,0"/>
                <v:stroke on="f"/>
                <v:imagedata o:title=""/>
                <o:lock v:ext="edit" aspectratio="f"/>
                <v:textbox>
                  <w:txbxContent>
                    <w:p w14:paraId="0593D4C4">
                      <w:pPr>
                        <w:rPr>
                          <w:color w:val="FF0000"/>
                          <w:sz w:val="21"/>
                          <w:szCs w:val="21"/>
                        </w:rPr>
                      </w:pPr>
                      <w:r>
                        <w:rPr>
                          <w:rFonts w:hint="eastAsia"/>
                          <w:color w:val="FF0000"/>
                          <w:sz w:val="21"/>
                          <w:szCs w:val="21"/>
                        </w:rPr>
                        <w:t>产品和服务</w:t>
                      </w:r>
                    </w:p>
                  </w:txbxContent>
                </v:textbox>
              </v:shape>
            </w:pict>
          </mc:Fallback>
        </mc:AlternateContent>
      </w:r>
      <w:r>
        <w:rPr>
          <w:rFonts w:ascii="宋体" w:hAnsi="宋体"/>
          <w:color w:val="FF0000"/>
          <w:sz w:val="21"/>
          <w:szCs w:val="21"/>
        </w:rPr>
        <mc:AlternateContent>
          <mc:Choice Requires="wps">
            <w:drawing>
              <wp:anchor distT="0" distB="0" distL="114300" distR="114300" simplePos="0" relativeHeight="251683840" behindDoc="0" locked="0" layoutInCell="1" allowOverlap="1">
                <wp:simplePos x="0" y="0"/>
                <wp:positionH relativeFrom="column">
                  <wp:posOffset>4754880</wp:posOffset>
                </wp:positionH>
                <wp:positionV relativeFrom="paragraph">
                  <wp:posOffset>278765</wp:posOffset>
                </wp:positionV>
                <wp:extent cx="990600" cy="272415"/>
                <wp:effectExtent l="0" t="0" r="0" b="13335"/>
                <wp:wrapNone/>
                <wp:docPr id="24" name="文本框 27"/>
                <wp:cNvGraphicFramePr/>
                <a:graphic xmlns:a="http://schemas.openxmlformats.org/drawingml/2006/main">
                  <a:graphicData uri="http://schemas.microsoft.com/office/word/2010/wordprocessingShape">
                    <wps:wsp>
                      <wps:cNvSpPr txBox="1"/>
                      <wps:spPr>
                        <a:xfrm>
                          <a:off x="0" y="0"/>
                          <a:ext cx="990600" cy="272415"/>
                        </a:xfrm>
                        <a:prstGeom prst="rect">
                          <a:avLst/>
                        </a:prstGeom>
                        <a:solidFill>
                          <a:srgbClr val="FFFFFF"/>
                        </a:solidFill>
                        <a:ln>
                          <a:noFill/>
                        </a:ln>
                      </wps:spPr>
                      <wps:txbx>
                        <w:txbxContent>
                          <w:p w14:paraId="6C794C1E">
                            <w:pPr>
                              <w:rPr>
                                <w:color w:val="FF0000"/>
                                <w:sz w:val="21"/>
                                <w:szCs w:val="21"/>
                              </w:rPr>
                            </w:pPr>
                            <w:r>
                              <w:rPr>
                                <w:rFonts w:hint="eastAsia"/>
                                <w:color w:val="FF0000"/>
                                <w:sz w:val="21"/>
                                <w:szCs w:val="21"/>
                              </w:rPr>
                              <w:t>产品和服务</w:t>
                            </w:r>
                          </w:p>
                        </w:txbxContent>
                      </wps:txbx>
                      <wps:bodyPr upright="1"/>
                    </wps:wsp>
                  </a:graphicData>
                </a:graphic>
              </wp:anchor>
            </w:drawing>
          </mc:Choice>
          <mc:Fallback>
            <w:pict>
              <v:shape id="文本框 27" o:spid="_x0000_s1026" o:spt="202" type="#_x0000_t202" style="position:absolute;left:0pt;margin-left:374.4pt;margin-top:21.95pt;height:21.45pt;width:78pt;z-index:251683840;mso-width-relative:page;mso-height-relative:page;" fillcolor="#FFFFFF" filled="t" stroked="f" coordsize="21600,21600" o:gfxdata="UEsDBAoAAAAAAIdO4kAAAAAAAAAAAAAAAAAEAAAAZHJzL1BLAwQUAAAACACHTuJAs6gTStcAAAAJ&#10;AQAADwAAAGRycy9kb3ducmV2LnhtbE2PzU7DMBCE70i8g7VIXBC1C2n+yKYSSCCuLX0AJ94mEfE6&#10;it2mfXvMCY47O5r5ptpe7CjONPvBMcJ6pUAQt84M3CEcvt4fcxA+aDZ6dEwIV/KwrW9vKl0at/CO&#10;zvvQiRjCvtQIfQhTKaVve7Lar9xEHH9HN1sd4jl30sx6ieF2lE9KpdLqgWNDryd666n93p8swvFz&#10;edgUS/MRDtkuSV/1kDXuinh/t1YvIAJdwp8ZfvEjOtSRqXEnNl6MCFmSR/SAkDwXIKKhUEkUGoQ8&#10;zUHWlfy/oP4BUEsDBBQAAAAIAIdO4kABmbAJwQEAAHgDAAAOAAAAZHJzL2Uyb0RvYy54bWytU0tu&#10;2zAQ3RfoHQjua8lCmjSC5QCt4W6KtkDSA9AUKRHgD0Paki/Q3qCrbrrvuXyODinFaZJNFtWCImce&#10;H+e9IVc3o9HkICAoZxu6XJSUCMtdq2zX0G932zfvKAmR2ZZpZ0VDjyLQm/XrV6vB16JyvdOtAIIk&#10;NtSDb2gfo6+LIvBeGBYWzguLSenAsIhL6IoW2IDsRhdVWV4Wg4PWg+MiBIxupiSdGeElhE5KxcXG&#10;8b0RNk6sIDSLKCn0yge6ztVKKXj8ImUQkeiGotKYRzwE57s0FusVqztgvld8LoG9pIQnmgxTFg89&#10;U21YZGQP6hmVURxccDIuuDPFJCQ7giqW5RNvbnvmRdaCVgd/Nj38P1r++fAViGobWl1QYpnBjp9+&#10;/jj9+nP6/Z1UV8mgwYcacbcekXF870a8NvfxgMGke5Rg0h8VEcyjvcezvWKMhGPw+rq8LDHDMVVd&#10;VRfLt4mleNjsIcSPwhmSJg0F7F42lR0+hThB7yHprOC0ardK67yAbvdBAzkw7PQ2fzP7I5i2CWxd&#10;2jYxpkiRJE5S0iyOu3HWvXPtEWXvPaiux5qy8AzHhuTi58uTOv7vOpM+PJj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OoE0rXAAAACQEAAA8AAAAAAAAAAQAgAAAAIgAAAGRycy9kb3ducmV2Lnht&#10;bFBLAQIUABQAAAAIAIdO4kABmbAJwQEAAHgDAAAOAAAAAAAAAAEAIAAAACYBAABkcnMvZTJvRG9j&#10;LnhtbFBLBQYAAAAABgAGAFkBAABZBQAAAAA=&#10;">
                <v:fill on="t" focussize="0,0"/>
                <v:stroke on="f"/>
                <v:imagedata o:title=""/>
                <o:lock v:ext="edit" aspectratio="f"/>
                <v:textbox>
                  <w:txbxContent>
                    <w:p w14:paraId="6C794C1E">
                      <w:pPr>
                        <w:rPr>
                          <w:color w:val="FF0000"/>
                          <w:sz w:val="21"/>
                          <w:szCs w:val="21"/>
                        </w:rPr>
                      </w:pPr>
                      <w:r>
                        <w:rPr>
                          <w:rFonts w:hint="eastAsia"/>
                          <w:color w:val="FF0000"/>
                          <w:sz w:val="21"/>
                          <w:szCs w:val="21"/>
                        </w:rPr>
                        <w:t>产品和服务</w:t>
                      </w:r>
                    </w:p>
                  </w:txbxContent>
                </v:textbox>
              </v:shape>
            </w:pict>
          </mc:Fallback>
        </mc:AlternateContent>
      </w:r>
    </w:p>
    <w:p w14:paraId="1B728F79">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3056" behindDoc="0" locked="0" layoutInCell="1" allowOverlap="1">
                <wp:simplePos x="0" y="0"/>
                <wp:positionH relativeFrom="column">
                  <wp:posOffset>4048125</wp:posOffset>
                </wp:positionH>
                <wp:positionV relativeFrom="paragraph">
                  <wp:posOffset>69850</wp:posOffset>
                </wp:positionV>
                <wp:extent cx="211455" cy="1742440"/>
                <wp:effectExtent l="43180" t="0" r="50165" b="10160"/>
                <wp:wrapNone/>
                <wp:docPr id="33" name="自选图形 28"/>
                <wp:cNvGraphicFramePr/>
                <a:graphic xmlns:a="http://schemas.openxmlformats.org/drawingml/2006/main">
                  <a:graphicData uri="http://schemas.microsoft.com/office/word/2010/wordprocessingShape">
                    <wps:wsp>
                      <wps:cNvCnPr/>
                      <wps:spPr>
                        <a:xfrm>
                          <a:off x="0" y="0"/>
                          <a:ext cx="211455" cy="174244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28" o:spid="_x0000_s1026" o:spt="32" type="#_x0000_t32" style="position:absolute;left:0pt;margin-left:318.75pt;margin-top:5.5pt;height:137.2pt;width:16.65pt;z-index:251693056;mso-width-relative:page;mso-height-relative:page;" filled="f" stroked="t" coordsize="21600,21600" o:gfxdata="UEsDBAoAAAAAAIdO4kAAAAAAAAAAAAAAAAAEAAAAZHJzL1BLAwQUAAAACACHTuJAHg4FINgAAAAK&#10;AQAADwAAAGRycy9kb3ducmV2LnhtbE2P0UrDMBSG7wXfIRzBO5d02m50TQcKIojInD5A1mRtMTmp&#10;Sbq1Pr3HK708/D//+b5qOznLTibE3qOEbCGAGWy87rGV8PH+eLMGFpNCraxHI2E2Ebb15UWlSu3P&#10;+GZO+9QyGsFYKgldSkPJeWw641Rc+MEgZUcfnEp0hpbroM407ixfClFwp3qkD50azENnms/96CSk&#10;l7m3z/e5CN9P8Ws3zOOUxKuU11eZ2ABLZkp/ZfjFJ3SoiengR9SRWQnF7SqnKgUZOVGhWAlyOUhY&#10;rvM74HXF/yvUP1BLAwQUAAAACACHTuJAgNkAWQACAADzAwAADgAAAGRycy9lMm9Eb2MueG1srVPN&#10;jtMwEL4j8Q6W7zRNtwtV1HQPLcsFwUrAA0wdJ7HkP3m8TXvjhngGbhx5B3iblZa3YOyULiyXHsjB&#10;GXtmvpnv83h5tTea7WRA5WzNy8mUM2mFa5Ttav7h/fWzBWcYwTagnZU1P0jkV6unT5aDr+TM9U43&#10;MjACsVgNvuZ9jL4qChS9NIAT56UlZ+uCgUjb0BVNgIHQjS5m0+nzYnCh8cEJiUinm9HJj4jhHEDX&#10;tkrIjRO3Rto4ogapIRIl7JVHvsrdtq0U8W3booxM15yYxrxSEbK3aS1WS6i6AL5X4tgCnNPCI04G&#10;lKWiJ6gNRGC3Qf0DZZQIDl0bJ8KZYiSSFSEW5fSRNu968DJzIanRn0TH/wcr3uxuAlNNzS8uOLNg&#10;6MbvP337+fHz3Zcfd9+/stkiaTR4rCh0bW/CcYf+JiTC+zaY9CcqbJ91PZx0lfvIBB3OynJ+ecmZ&#10;IFf5Yj6bz7PwxUO2DxhfSWdYMmqOMYDq+rh21tIVulBmcWH3GiPVp8TfCam0tmyg/hfllG5VAM1k&#10;S7NApvHEC22Xk9Fp1VwrrVMKhm671oHtIM1F/hJNAv4rLFXZAPZjXHaNE9NLaF7ahsWDJ8FiUGA7&#10;LXnqw8iGMy3pbSWLQKGKoPS50dSCttRJUnzUOFlb1xyy9PmcZiH3epzbNGx/7nP2w1td/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DgUg2AAAAAoBAAAPAAAAAAAAAAEAIAAAACIAAABkcnMvZG93&#10;bnJldi54bWxQSwECFAAUAAAACACHTuJAgNkAWQACAADzAwAADgAAAAAAAAABACAAAAAnAQAAZHJz&#10;L2Uyb0RvYy54bWxQSwUGAAAAAAYABgBZAQAAmQU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70528" behindDoc="0" locked="0" layoutInCell="1" allowOverlap="1">
                <wp:simplePos x="0" y="0"/>
                <wp:positionH relativeFrom="column">
                  <wp:posOffset>2717800</wp:posOffset>
                </wp:positionH>
                <wp:positionV relativeFrom="paragraph">
                  <wp:posOffset>126365</wp:posOffset>
                </wp:positionV>
                <wp:extent cx="0" cy="514350"/>
                <wp:effectExtent l="38100" t="0" r="38100" b="0"/>
                <wp:wrapNone/>
                <wp:docPr id="11" name="自选图形 29"/>
                <wp:cNvGraphicFramePr/>
                <a:graphic xmlns:a="http://schemas.openxmlformats.org/drawingml/2006/main">
                  <a:graphicData uri="http://schemas.microsoft.com/office/word/2010/wordprocessingShape">
                    <wps:wsp>
                      <wps:cNvCnPr/>
                      <wps:spPr>
                        <a:xfrm>
                          <a:off x="0" y="0"/>
                          <a:ext cx="0" cy="51435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29" o:spid="_x0000_s1026" o:spt="32" type="#_x0000_t32" style="position:absolute;left:0pt;margin-left:214pt;margin-top:9.95pt;height:40.5pt;width:0pt;z-index:251670528;mso-width-relative:page;mso-height-relative:page;" filled="f" stroked="t" coordsize="21600,21600" o:gfxdata="UEsDBAoAAAAAAIdO4kAAAAAAAAAAAAAAAAAEAAAAZHJzL1BLAwQUAAAACACHTuJASgJZF9cAAAAK&#10;AQAADwAAAGRycy9kb3ducmV2LnhtbE2PzU7DMBCE70i8g7VI3KjdClVNGqcHfiTUC6KlSNzceJtE&#10;2OsodprA07OIAxx3ZjT7TbGZvBNn7GMbSMN8pkAgVcG2VGt43T/erEDEZMgaFwg1fGKETXl5UZjc&#10;hpFe8LxLteASirnR0KTU5VLGqkFv4ix0SOydQu9N4rOvpe3NyOXeyYVSS+lNS/yhMR3eNVh97Aav&#10;wdHh+eHNPMXtcpjwsH3/kn681/r6aq7WIBJO6S8MP/iMDiUzHcNANgqn4Xax4i2JjSwDwYFf4ciC&#10;UhnIspD/J5TfUEsDBBQAAAAIAIdO4kAamUMW9wEAAOwDAAAOAAAAZHJzL2Uyb0RvYy54bWytU72O&#10;EzEQ7pF4B8s92SQQxK2yuSLhaBCcBDzAxPbuWvKfPL5s0tEhnoGOkneAtznpeAvG3pCDo0nBFt7x&#10;eOab+T6Pl5d7a9hORdTeNXw2mXKmnPBSu67hH95fPXnBGSZwEox3quEHhfxy9fjRcgi1mvveG6ki&#10;IxCH9RAa3qcU6qpC0SsLOPFBOTpsfbSQaBu7SkYYCN2aaj6dPq8GH2WIXihE8m7GQ35EjOcA+rbV&#10;Qm28uLHKpRE1KgOJKGGvA/JV6bZtlUhv2xZVYqbhxDSVlYqQvc1rtVpC3UUIvRbHFuCcFh5wsqAd&#10;FT1BbSABu4n6HyirRfTo2zQR3lYjkaIIsZhNH2jzroegCheSGsNJdPx/sOLN7joyLWkSZpw5sHTj&#10;d5++/fz4+fbLj9vvX9n8Ims0BKwpdO2u43GH4Tpmwvs22vwnKmxfdD2cdFX7xMToFORdzJ49XRTJ&#10;q/u8EDG9Ut6ybDQcUwTd9WntnaPL83FWZIXda0xUmRJ/J+SixrGh4ReL+YIzATSMLQ0BmTYQIXRd&#10;yUVvtLzSxuQMjN12bSLbQR6I8mV+hPtXWC6yAezHuHI0jkqvQL50kqVDIKVS1OA6o3huwyrJmVH0&#10;qLJFoFAn0ObcaGrBOOokSz2Km62tl4eiefHTEJRejwObp+zPfcm+f6S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oCWRfXAAAACgEAAA8AAAAAAAAAAQAgAAAAIgAAAGRycy9kb3ducmV2LnhtbFBL&#10;AQIUABQAAAAIAIdO4kAamUMW9wEAAOwDAAAOAAAAAAAAAAEAIAAAACYBAABkcnMvZTJvRG9jLnht&#10;bFBLBQYAAAAABgAGAFkBAACPBQAAAAA=&#10;">
                <v:fill on="f" focussize="0,0"/>
                <v:stroke color="#000000" joinstyle="round" startarrow="block" endarrow="block"/>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5648" behindDoc="0" locked="0" layoutInCell="1" allowOverlap="1">
                <wp:simplePos x="0" y="0"/>
                <wp:positionH relativeFrom="column">
                  <wp:posOffset>1235710</wp:posOffset>
                </wp:positionH>
                <wp:positionV relativeFrom="paragraph">
                  <wp:posOffset>245745</wp:posOffset>
                </wp:positionV>
                <wp:extent cx="1120775" cy="569595"/>
                <wp:effectExtent l="66040" t="71120" r="0" b="102235"/>
                <wp:wrapNone/>
                <wp:docPr id="16" name="自选图形 30"/>
                <wp:cNvGraphicFramePr/>
                <a:graphic xmlns:a="http://schemas.openxmlformats.org/drawingml/2006/main">
                  <a:graphicData uri="http://schemas.microsoft.com/office/word/2010/wordprocessingShape">
                    <wps:wsp>
                      <wps:cNvSpPr/>
                      <wps:spPr>
                        <a:xfrm rot="12600000">
                          <a:off x="0" y="0"/>
                          <a:ext cx="1120775" cy="569595"/>
                        </a:xfrm>
                        <a:custGeom>
                          <a:avLst/>
                          <a:gdLst>
                            <a:gd name="txL" fmla="*/ 3163 w 21600"/>
                            <a:gd name="txT" fmla="*/ 3163 h 21600"/>
                            <a:gd name="txR" fmla="*/ 18437 w 21600"/>
                            <a:gd name="txB" fmla="*/ 18437 h 21600"/>
                          </a:gdLst>
                          <a:ahLst/>
                          <a:cxnLst>
                            <a:cxn ang="270">
                              <a:pos x="12164" y="86"/>
                            </a:cxn>
                            <a:cxn ang="180">
                              <a:pos x="2958" y="8769"/>
                            </a:cxn>
                            <a:cxn ang="270">
                              <a:pos x="11482" y="5443"/>
                            </a:cxn>
                            <a:cxn ang="0">
                              <a:pos x="24300" y="10800"/>
                            </a:cxn>
                            <a:cxn ang="0">
                              <a:pos x="18900" y="16200"/>
                            </a:cxn>
                            <a:cxn ang="0">
                              <a:pos x="13500" y="10800"/>
                            </a:cxn>
                          </a:cxnLst>
                          <a:rect l="txL" t="txT" r="txR" b="txB"/>
                          <a:pathLst>
                            <a:path w="21600" h="21600">
                              <a:moveTo>
                                <a:pt x="16200" y="10800"/>
                              </a:moveTo>
                              <a:arcTo wR="5400" hR="5400" stAng="0" swAng="-9928903"/>
                              <a:lnTo>
                                <a:pt x="344" y="8092"/>
                              </a:lnTo>
                              <a:arcTo wR="10800" hR="10800" stAng="-9928903" swAng="9928903"/>
                              <a:lnTo>
                                <a:pt x="24300" y="10800"/>
                              </a:lnTo>
                              <a:lnTo>
                                <a:pt x="18900" y="16200"/>
                              </a:lnTo>
                              <a:lnTo>
                                <a:pt x="13500" y="10800"/>
                              </a:lnTo>
                              <a:lnTo>
                                <a:pt x="16200" y="1080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30" o:spid="_x0000_s1026" o:spt="100" style="position:absolute;left:0pt;margin-left:97.3pt;margin-top:19.35pt;height:44.85pt;width:88.25pt;rotation:-9830400f;z-index:251675648;mso-width-relative:page;mso-height-relative:page;" fillcolor="#FFFFFF" filled="t" stroked="t" coordsize="21600,21600" o:gfxdata="UEsDBAoAAAAAAIdO4kAAAAAAAAAAAAAAAAAEAAAAZHJzL1BLAwQUAAAACACHTuJAAItoZtoAAAAK&#10;AQAADwAAAGRycy9kb3ducmV2LnhtbE2PwU7DMBBE70j8g7VI3KiTtkpDiFPRiqpIHBCFA9zceIkj&#10;4nWI3ab9e5YTHEfzNPu2XJ5cJ444hNaTgnSSgECqvWmpUfD2urnJQYSoyejOEyo4Y4BldXlR6sL4&#10;kV7wuIuN4BEKhVZgY+wLKUNt0ekw8T0Sd59+cDpyHBppBj3yuOvkNEky6XRLfMHqHtcW66/dwSlY&#10;3T+Ow3m13Txv6WP9hP77wb5nSl1fpckdiIin+AfDrz6rQ8VOe38gE0TH+XaeMapgli9AMDBbpCmI&#10;PTfTfA6yKuX/F6ofUEsDBBQAAAAIAIdO4kBNyw1jUAMAACUIAAAOAAAAZHJzL2Uyb0RvYy54bWyt&#10;VcuO0zAU3SPxD1aWSDN5Nm2qaUcMZdggGM2UD/AkThPJiS3bbdIdO8Q3sGPJP8DfjAR/wbUT9zUt&#10;6oIumpv43Nc59vXVdVtRtCJClqyeOP6l5yBSpywr68XE+TS/vRg5SCpcZ5iymkycNZHO9fTli6uG&#10;j0nACkYzIhAEqeW44ROnUIqPXVemBamwvGSc1LCYM1FhBa9i4WYCNxC9om7gebHbMJFxwVIiJXyd&#10;dYtOH1GcE5DleZmSGUuXFalVF1UQihW0JIuSS2dqqs1zkqqPeS6JQnTiQKfK/EMSsB/1vzu9wuOF&#10;wLwo074EfE4JBz1VuKwh6SbUDCuMlqJ8FqoqU8Eky9Vlyiq3a8QwAl343gE3DwXmxPQCVEu+IV3+&#10;v7Dph9WdQGUGOyF2UI0rUPz3lx9/Pn99+vbr6ed3FBqOGi7HAH3gdwIY028STN1wm4sKCQbE+kHs&#10;6Z/hATpDraF5vaGZtAql8NH3A284HDgohbVBnAySgdbB7YLpoOlSqneEVdrGq/dSdTJlYBmSs75S&#10;1b53UF5RkOyVi0I/DlGDAh/q6IXdAueHwOIE8H4H6I+icHgy5M0z5E5M6GZh68WFbSFt674HsBDW&#10;Ry4YdoxxJjVjPpQfOQiYGcU9KwA1pFgPf7TnESQDOLLaYRgnJ1wOk/jRKDA+gygKT/jsJ4lCIFVn&#10;8b1RRy90eFjZnos/SqxLDAf/nCx+OLAuh1m6bD15As61PtFGf9h6qgV54VSrFtSDc63aG50OjzlW&#10;mntrogb4NtsDFdbSaxVbkTkzKGVEMAUfdrtFYZHOGWruYftGuuBiY0n1WosK32RjrIskCYAIQzIe&#10;03o3TRj1SntJ0NNjAdsMHd8mRW/2OTaRbap/ZAqOymeT2Sfvmj+qm8XYZ489KpjF2GePPUqqxaSU&#10;SdJNAS2aGQcb9bT4OyNBMlpmtyWlWjEpFo9vqEArDBvi1vx6LvdgtNbiJ4NAzx0M91YO9wWYFYfZ&#10;J+uFmVp7HnuBzWSze3gPxoVUMyyLrgCz1O29qlREmF1YEJy9rTOk1hzGaw3XqqOLqUjmIErgFtaW&#10;QSpc0nOQQAiFoeBuJ7G2Hlm2hmm+5KJcFHoiGyL0CtwehtH+ptPX0+67ibS93a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ACLaGbaAAAACgEAAA8AAAAAAAAAAQAgAAAAIgAAAGRycy9kb3ducmV2&#10;LnhtbFBLAQIUABQAAAAIAIdO4kBNyw1jUAMAACUIAAAOAAAAAAAAAAEAIAAAACkBAABkcnMvZTJv&#10;RG9jLnhtbFBLBQYAAAAABgAGAFkBAADrBgAAAAA=&#10;" path="m16200,10800c16200,7818,13782,5400,10800,5400c8286,5400,6173,7119,5571,9445l344,8092c1546,3435,5771,-1,10799,-1c16764,-1,21599,4834,21599,10799l24300,10800,18900,16200,13500,10800,16200,10800xe">
                <v:path o:connectlocs="12164,86;2958,8769;11482,5443;24300,10800;18900,16200;13500,10800" o:connectangles="0,0,0,0,0,0"/>
                <v:fill on="t" focussize="0,0"/>
                <v:stroke color="#000000" joinstyle="miter"/>
                <v:imagedata o:title=""/>
                <o:lock v:ext="edit" aspectratio="f"/>
              </v:shape>
            </w:pict>
          </mc:Fallback>
        </mc:AlternateContent>
      </w:r>
      <w:r>
        <w:rPr>
          <w:rFonts w:ascii="宋体" w:hAnsi="宋体"/>
          <w:color w:val="FF0000"/>
          <w:sz w:val="21"/>
          <w:szCs w:val="21"/>
        </w:rPr>
        <mc:AlternateContent>
          <mc:Choice Requires="wps">
            <w:drawing>
              <wp:anchor distT="0" distB="0" distL="114300" distR="114300" simplePos="0" relativeHeight="251679744" behindDoc="0" locked="0" layoutInCell="1" allowOverlap="1">
                <wp:simplePos x="0" y="0"/>
                <wp:positionH relativeFrom="column">
                  <wp:posOffset>354330</wp:posOffset>
                </wp:positionH>
                <wp:positionV relativeFrom="paragraph">
                  <wp:posOffset>250190</wp:posOffset>
                </wp:positionV>
                <wp:extent cx="666750" cy="312420"/>
                <wp:effectExtent l="8255" t="3175" r="10795" b="27305"/>
                <wp:wrapNone/>
                <wp:docPr id="20" name="自选图形 31"/>
                <wp:cNvGraphicFramePr/>
                <a:graphic xmlns:a="http://schemas.openxmlformats.org/drawingml/2006/main">
                  <a:graphicData uri="http://schemas.microsoft.com/office/word/2010/wordprocessingShape">
                    <wps:wsp>
                      <wps:cNvCnPr/>
                      <wps:spPr>
                        <a:xfrm flipV="1">
                          <a:off x="0" y="0"/>
                          <a:ext cx="666750" cy="312420"/>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flip:y;margin-left:27.9pt;margin-top:19.7pt;height:24.6pt;width:52.5pt;z-index:251679744;mso-width-relative:page;mso-height-relative:page;" filled="f" stroked="t" coordsize="21600,21600" o:gfxdata="UEsDBAoAAAAAAIdO4kAAAAAAAAAAAAAAAAAEAAAAZHJzL1BLAwQUAAAACACHTuJA4Gvbu9cAAAAI&#10;AQAADwAAAGRycy9kb3ducmV2LnhtbE2PwU7DMBBE70j8g7VIXBC129AohDiVQOJCD4gWiasTL0lU&#10;ex3ZTlL+HvcEx50Zzbytdmdr2Iw+DI4krFcCGFLr9ECdhM/j630BLERFWhlHKOEHA+zq66tKldot&#10;9IHzIXYslVAolYQ+xrHkPLQ9WhVWbkRK3rfzVsV0+o5rr5ZUbg3fCJFzqwZKC70a8aXH9nSYrATz&#10;tZ+z8K6fs7v9aTpS49+WTSPl7c1aPAGLeI5/YbjgJ3SoE1PjJtKBGQnbbSKPErLHB2AXPxdJaCQU&#10;RQ68rvj/B+pfUEsDBBQAAAAIAIdO4kAz134kBgIAAPgDAAAOAAAAZHJzL2Uyb0RvYy54bWytU72O&#10;EzEQ7pF4B8s92SQH4bTK5oqEo0FwEj/9xPbuWvKfPL5s0tEhnoGOkneAtzkJ3oKxN+TgENIVuLDG&#10;nplv5vs8Xl7srWE7FVF71/DZZMqZcsJL7bqGv31z+eicM0zgJBjvVMMPCvnF6uGD5RBqNfe9N1JF&#10;RiAO6yE0vE8p1FWFolcWcOKDcuRsfbSQ6Bi7SkYYCN2aaj6dLqrBRxmiFwqRbjejkx8R430Afdtq&#10;oTZeXFvl0ogalYFElLDXAfmqdNu2SqRXbYsqMdNwYprKTkXI3ua9Wi2h7iKEXotjC3CfFu5wsqAd&#10;FT1BbSABu476LyirRfTo2zQR3lYjkaIIsZhN72jzuoegCheSGsNJdPx/sOLl7ioyLRs+J0kcWHrx&#10;7x++/Hj/8ebTt5uvn9nZLGs0BKwpdO2u4vGE4Spmwvs2WtYaHd7RMBUJiBTbF4UPJ4XVPjFBl4vF&#10;4ukTKiTIdTabP6aihFeNMBkuREzPlbcsGw3HFEF3fVp75+gtfRxLwO4FpjHxV0JONo4NhHs+m+YS&#10;QMPZ0lCQaQMRRNeV/tAbLS+1MTkFY7ddm8h2kAekrGNHf4TlKhvAfowrrhwGda9APnOSpUMg5Rz9&#10;GJ57sEpyZhR9sGyVyATa3EamqMF15h/RJIhxpEuWfRQ6W1svD0X/ck8DUZQ7Dm+euN/PJfv2w6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Br27vXAAAACAEAAA8AAAAAAAAAAQAgAAAAIgAAAGRy&#10;cy9kb3ducmV2LnhtbFBLAQIUABQAAAAIAIdO4kAz134kBgIAAPgDAAAOAAAAAAAAAAEAIAAAACYB&#10;AABkcnMvZTJvRG9jLnhtbFBLBQYAAAAABgAGAFkBAACeBQAAAAA=&#10;">
                <v:fill on="f" focussize="0,0"/>
                <v:stroke weight="3pt" color="#000000" joinstyle="round" endarrow="block"/>
                <v:imagedata o:title=""/>
                <o:lock v:ext="edit" aspectratio="f"/>
              </v:shape>
            </w:pict>
          </mc:Fallback>
        </mc:AlternateContent>
      </w:r>
      <w:r>
        <w:rPr>
          <w:rFonts w:hint="eastAsia" w:ascii="宋体" w:cs="宋体"/>
          <w:color w:val="FF0000"/>
          <w:sz w:val="21"/>
          <w:szCs w:val="21"/>
        </w:rPr>
        <w:t xml:space="preserve">    </w:t>
      </w:r>
    </w:p>
    <w:p w14:paraId="6E808932">
      <w:pPr>
        <w:spacing w:line="480" w:lineRule="exact"/>
        <w:ind w:firstLine="630" w:firstLineChars="300"/>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88960" behindDoc="0" locked="0" layoutInCell="1" allowOverlap="1">
                <wp:simplePos x="0" y="0"/>
                <wp:positionH relativeFrom="column">
                  <wp:posOffset>-379095</wp:posOffset>
                </wp:positionH>
                <wp:positionV relativeFrom="paragraph">
                  <wp:posOffset>264160</wp:posOffset>
                </wp:positionV>
                <wp:extent cx="1152525" cy="427990"/>
                <wp:effectExtent l="0" t="0" r="9525" b="10160"/>
                <wp:wrapNone/>
                <wp:docPr id="29" name="文本框 32"/>
                <wp:cNvGraphicFramePr/>
                <a:graphic xmlns:a="http://schemas.openxmlformats.org/drawingml/2006/main">
                  <a:graphicData uri="http://schemas.microsoft.com/office/word/2010/wordprocessingShape">
                    <wps:wsp>
                      <wps:cNvSpPr txBox="1"/>
                      <wps:spPr>
                        <a:xfrm>
                          <a:off x="0" y="0"/>
                          <a:ext cx="1152525" cy="427990"/>
                        </a:xfrm>
                        <a:prstGeom prst="rect">
                          <a:avLst/>
                        </a:prstGeom>
                        <a:solidFill>
                          <a:srgbClr val="FFFFFF"/>
                        </a:solidFill>
                        <a:ln>
                          <a:noFill/>
                        </a:ln>
                      </wps:spPr>
                      <wps:txbx>
                        <w:txbxContent>
                          <w:p w14:paraId="61F89CD6">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wps:txbx>
                      <wps:bodyPr upright="1"/>
                    </wps:wsp>
                  </a:graphicData>
                </a:graphic>
              </wp:anchor>
            </w:drawing>
          </mc:Choice>
          <mc:Fallback>
            <w:pict>
              <v:shape id="文本框 32" o:spid="_x0000_s1026" o:spt="202" type="#_x0000_t202" style="position:absolute;left:0pt;margin-left:-29.85pt;margin-top:20.8pt;height:33.7pt;width:90.75pt;z-index:251688960;mso-width-relative:page;mso-height-relative:page;" fillcolor="#FFFFFF" filled="t" stroked="f" coordsize="21600,21600" o:gfxdata="UEsDBAoAAAAAAIdO4kAAAAAAAAAAAAAAAAAEAAAAZHJzL1BLAwQUAAAACACHTuJAeREYktgAAAAK&#10;AQAADwAAAGRycy9kb3ducmV2LnhtbE2Py07DMBBF90j8gzVIbFBrp2oTEuJUAgnEto8PcOJpEhGP&#10;o9ht2r9nuoLdjObozrnl9uoGccEp9J40JEsFAqnxtqdWw/HwuXgFEaIhawZPqOGGAbbV40NpCutn&#10;2uFlH1vBIRQKo6GLcSykDE2HzoSlH5H4dvKTM5HXqZV2MjOHu0GulEqlMz3xh86M+NFh87M/Ow2n&#10;7/llk8/1Vzxmu3X6bvqs9jetn58S9QYi4jX+wXDXZ3Wo2Kn2Z7JBDBoWmzxjVMM6SUHcgVXCXWoe&#10;VK5AVqX8X6H6BVBLAwQUAAAACACHTuJAuzXN0MMBAAB5AwAADgAAAGRycy9lMm9Eb2MueG1srVPN&#10;jtMwEL4j8Q6W7zRt+G3UdCWoygUB0sIDuI6TWLI91tht0heAN+DEhTvP1efYsdPtsruXPZBIznh+&#10;Ps/3jbO6Gq1hB4VBg6v5YjbnTDkJjXZdzb9/2754x1mIwjXCgFM1P6rAr9bPn60GX6kSejCNQkYg&#10;LlSDr3kfo6+KIsheWRFm4JWjYAtoRaQtdkWDYiB0a4pyPn9TDICNR5AqBPJupiA/I+JTAKFttVQb&#10;kHurXJxQURkRiVLotQ98nbttWyXjl7YNKjJTc2Ia80qHkL1La7FeiapD4Xstzy2Ip7TwgJMV2tGh&#10;F6iNiILtUT+CsloiBGjjTIItJiJZEWKxmD/Q5roXXmUuJHXwF9HD/4OVnw9fkemm5uWSMycsTfz0&#10;6+fp99/Tnx/sZZkEGnyoKO/aU2Yc38NI1+bWH8iZeI8t2vQlRoziJO/xIq8aI5OpaPG6pJczSbFX&#10;5dvlMutf3FV7DPGjAsuSUXOk8WVVxeFTiNQJpd6mpMMCGN1stTF5g93ug0F2EDTqbX5Sk1RyL824&#10;lOwglU3h5CkSx4lLsuK4G8/Ed9Aciffeo+566ikzz+k0kQx/vj1p5P/uM+jdH7O+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kRGJLYAAAACgEAAA8AAAAAAAAAAQAgAAAAIgAAAGRycy9kb3ducmV2&#10;LnhtbFBLAQIUABQAAAAIAIdO4kC7Nc3QwwEAAHkDAAAOAAAAAAAAAAEAIAAAACcBAABkcnMvZTJv&#10;RG9jLnhtbFBLBQYAAAAABgAGAFkBAABcBQAAAAA=&#10;">
                <v:fill on="t" focussize="0,0"/>
                <v:stroke on="f"/>
                <v:imagedata o:title=""/>
                <o:lock v:ext="edit" aspectratio="f"/>
                <v:textbox>
                  <w:txbxContent>
                    <w:p w14:paraId="61F89CD6">
                      <w:pPr>
                        <w:rPr>
                          <w:rFonts w:ascii="宋体" w:hAnsi="宋体"/>
                          <w:sz w:val="21"/>
                          <w:szCs w:val="21"/>
                        </w:rPr>
                      </w:pPr>
                      <w:r>
                        <w:rPr>
                          <w:rFonts w:hint="eastAsia" w:ascii="宋体" w:hAnsi="宋体"/>
                          <w:color w:val="FF0000"/>
                          <w:sz w:val="21"/>
                          <w:szCs w:val="21"/>
                        </w:rPr>
                        <w:t>有关相关方的需求和期望</w:t>
                      </w:r>
                      <w:r>
                        <w:rPr>
                          <w:rFonts w:hint="eastAsia" w:ascii="宋体" w:hAnsi="宋体"/>
                          <w:sz w:val="21"/>
                          <w:szCs w:val="21"/>
                        </w:rPr>
                        <w:t>（4）</w:t>
                      </w:r>
                    </w:p>
                  </w:txbxContent>
                </v:textbox>
              </v:shape>
            </w:pict>
          </mc:Fallback>
        </mc:AlternateContent>
      </w:r>
      <w:r>
        <w:rPr>
          <w:rFonts w:hint="eastAsia" w:ascii="宋体" w:cs="宋体"/>
          <w:color w:val="FF0000"/>
          <w:sz w:val="21"/>
          <w:szCs w:val="21"/>
        </w:rPr>
        <w:t xml:space="preserve">                     处置                 检查</w:t>
      </w:r>
    </w:p>
    <w:p w14:paraId="3B3CAEF4">
      <w:pPr>
        <w:spacing w:line="480" w:lineRule="exact"/>
        <w:jc w:val="left"/>
        <w:rPr>
          <w:rFonts w:ascii="宋体" w:cs="宋体"/>
          <w:color w:val="FF0000"/>
          <w:sz w:val="21"/>
          <w:szCs w:val="21"/>
        </w:rPr>
      </w:pPr>
    </w:p>
    <w:p w14:paraId="3BE3661B">
      <w:pPr>
        <w:spacing w:line="360" w:lineRule="exact"/>
        <w:jc w:val="left"/>
        <w:rPr>
          <w:rFonts w:ascii="宋体" w:cs="宋体"/>
          <w:color w:val="FF0000"/>
          <w:sz w:val="21"/>
          <w:szCs w:val="21"/>
        </w:rPr>
      </w:pPr>
      <w:r>
        <w:rPr>
          <w:rFonts w:ascii="宋体" w:hAnsi="宋体"/>
          <w:color w:val="FF0000"/>
          <w:sz w:val="21"/>
          <w:szCs w:val="21"/>
        </w:rPr>
        <mc:AlternateContent>
          <mc:Choice Requires="wps">
            <w:drawing>
              <wp:anchor distT="0" distB="0" distL="114300" distR="114300" simplePos="0" relativeHeight="251666432" behindDoc="0" locked="0" layoutInCell="1" allowOverlap="1">
                <wp:simplePos x="0" y="0"/>
                <wp:positionH relativeFrom="column">
                  <wp:posOffset>2249805</wp:posOffset>
                </wp:positionH>
                <wp:positionV relativeFrom="paragraph">
                  <wp:posOffset>99695</wp:posOffset>
                </wp:positionV>
                <wp:extent cx="876300" cy="742950"/>
                <wp:effectExtent l="4445" t="4445" r="14605" b="14605"/>
                <wp:wrapNone/>
                <wp:docPr id="7" name="自选图形 33"/>
                <wp:cNvGraphicFramePr/>
                <a:graphic xmlns:a="http://schemas.openxmlformats.org/drawingml/2006/main">
                  <a:graphicData uri="http://schemas.microsoft.com/office/word/2010/wordprocessingShape">
                    <wps:wsp>
                      <wps:cNvSpPr/>
                      <wps:spPr>
                        <a:xfrm>
                          <a:off x="0" y="0"/>
                          <a:ext cx="876300" cy="742950"/>
                        </a:xfrm>
                        <a:prstGeom prst="flowChartConnector">
                          <a:avLst/>
                        </a:prstGeom>
                        <a:solidFill>
                          <a:srgbClr val="FFFFFF"/>
                        </a:solidFill>
                        <a:ln w="9525" cap="flat" cmpd="sng">
                          <a:solidFill>
                            <a:srgbClr val="000000"/>
                          </a:solidFill>
                          <a:prstDash val="solid"/>
                          <a:headEnd type="none" w="med" len="med"/>
                          <a:tailEnd type="none" w="med" len="med"/>
                        </a:ln>
                      </wps:spPr>
                      <wps:txbx>
                        <w:txbxContent>
                          <w:p w14:paraId="10EF5AE4">
                            <w:pPr>
                              <w:spacing w:line="360" w:lineRule="exact"/>
                              <w:rPr>
                                <w:rFonts w:ascii="宋体" w:hAnsi="宋体"/>
                                <w:sz w:val="21"/>
                                <w:szCs w:val="21"/>
                              </w:rPr>
                            </w:pPr>
                            <w:r>
                              <w:rPr>
                                <w:rFonts w:hint="eastAsia" w:ascii="宋体" w:hAnsi="宋体"/>
                                <w:sz w:val="21"/>
                                <w:szCs w:val="21"/>
                              </w:rPr>
                              <w:t>改   进</w:t>
                            </w:r>
                          </w:p>
                          <w:p w14:paraId="28FCA651">
                            <w:pPr>
                              <w:spacing w:line="360" w:lineRule="exact"/>
                              <w:rPr>
                                <w:rFonts w:ascii="宋体" w:hAnsi="宋体"/>
                                <w:sz w:val="21"/>
                                <w:szCs w:val="21"/>
                              </w:rPr>
                            </w:pPr>
                            <w:r>
                              <w:rPr>
                                <w:rFonts w:hint="eastAsia" w:ascii="宋体" w:hAnsi="宋体"/>
                                <w:sz w:val="21"/>
                                <w:szCs w:val="21"/>
                              </w:rPr>
                              <w:t>（10）</w:t>
                            </w:r>
                          </w:p>
                        </w:txbxContent>
                      </wps:txbx>
                      <wps:bodyPr upright="1"/>
                    </wps:wsp>
                  </a:graphicData>
                </a:graphic>
              </wp:anchor>
            </w:drawing>
          </mc:Choice>
          <mc:Fallback>
            <w:pict>
              <v:shape id="自选图形 33" o:spid="_x0000_s1026" o:spt="120" type="#_x0000_t120" style="position:absolute;left:0pt;margin-left:177.15pt;margin-top:7.85pt;height:58.5pt;width:69pt;z-index:251666432;mso-width-relative:page;mso-height-relative:page;" fillcolor="#FFFFFF" filled="t" stroked="t" coordsize="21600,21600" o:gfxdata="UEsDBAoAAAAAAIdO4kAAAAAAAAAAAAAAAAAEAAAAZHJzL1BLAwQUAAAACACHTuJAcNmsQNgAAAAK&#10;AQAADwAAAGRycy9kb3ducmV2LnhtbE2PwU7DMBBE70j8g7WVuFGnSUNoGqcCBFLFBVGQuLrxNomw&#10;11HsNu3fs5zguDNPszPV5uysOOEYek8KFvMEBFLjTU+tgs+Pl9t7ECFqMtp6QgUXDLCpr68qXRo/&#10;0TuedrEVHEKh1Aq6GIdSytB06HSY+wGJvYMfnY58jq00o5443FmZJsmddLon/tDpAZ86bL53R6cg&#10;bi/2tZ/smyueH76m7DHfEg5K3cwWyRpExHP8g+G3PleHmjvt/ZFMEFZBli8zRtnICxAMLFcpC3sW&#10;srQAWVfy/4T6B1BLAwQUAAAACACHTuJAK/bHnhQCAAAzBAAADgAAAGRycy9lMm9Eb2MueG1srVNL&#10;jhMxEN0jcQfLe9KdhExmWunMIiFsEIw0cADHn25L/sl20p0dO8QZ2LHkDnCbkeAWlN0h84FFFvTC&#10;XbarXtV7VV5c91qhPfdBWlPj8ajEiBtqmTRNjT+837y4xChEYhhR1vAaH3jA18vnzxadq/jEtlYx&#10;7hGAmFB1rsZtjK4qikBbrkkYWccNXArrNYmw9U3BPOkAXatiUpYXRWc9c95SHgKcrodLfET05wBa&#10;ISTla0t3mps4oHquSARKoZUu4GWuVghO4zshAo9I1RiYxrxCErC3aS2WC1I1nrhW0mMJ5JwSnnDS&#10;RBpIeoJak0jQzsu/oLSk3gYr4ohaXQxEsiLAYlw+0ea2JY5nLiB1cCfRw/+DpW/3Nx5JVuM5RoZo&#10;aPjPT99+ffx89+XH3fevaDpNEnUuVOB56278cRfATHx74XX6AxPUZ1kPJ1l5HxGFw8v5xbQEwSlc&#10;zV9OrmZZ9uI+2PkQX3OrUTJqLJTtVi3xcWWNgQ5an6Ul+zchQnoI/BOQMgerJNtIpfLGN9uV8mhP&#10;oN+b/KX6IeSRmzKoq/HVbDKDqggMsYDhAVM7ECKYJud7FBEeApf5+xdwKmxNQjsUkBGSG6laTtgr&#10;w1A8OJDYwMvCqQTNGUaKw0NMVvaMRKpzPIGTMkAt9WboRrJiv+0BJplbyw7Q253zsmlB1nEuON3A&#10;LGVNjnOfhvXhPoPev/X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DZrEDYAAAACgEAAA8AAAAA&#10;AAAAAQAgAAAAIgAAAGRycy9kb3ducmV2LnhtbFBLAQIUABQAAAAIAIdO4kAr9seeFAIAADMEAAAO&#10;AAAAAAAAAAEAIAAAACcBAABkcnMvZTJvRG9jLnhtbFBLBQYAAAAABgAGAFkBAACtBQAAAAA=&#10;">
                <v:fill on="t" focussize="0,0"/>
                <v:stroke color="#000000" joinstyle="round"/>
                <v:imagedata o:title=""/>
                <o:lock v:ext="edit" aspectratio="f"/>
                <v:textbox>
                  <w:txbxContent>
                    <w:p w14:paraId="10EF5AE4">
                      <w:pPr>
                        <w:spacing w:line="360" w:lineRule="exact"/>
                        <w:rPr>
                          <w:rFonts w:ascii="宋体" w:hAnsi="宋体"/>
                          <w:sz w:val="21"/>
                          <w:szCs w:val="21"/>
                        </w:rPr>
                      </w:pPr>
                      <w:r>
                        <w:rPr>
                          <w:rFonts w:hint="eastAsia" w:ascii="宋体" w:hAnsi="宋体"/>
                          <w:sz w:val="21"/>
                          <w:szCs w:val="21"/>
                        </w:rPr>
                        <w:t>改   进</w:t>
                      </w:r>
                    </w:p>
                    <w:p w14:paraId="28FCA651">
                      <w:pPr>
                        <w:spacing w:line="360" w:lineRule="exact"/>
                        <w:rPr>
                          <w:rFonts w:ascii="宋体" w:hAnsi="宋体"/>
                          <w:sz w:val="21"/>
                          <w:szCs w:val="21"/>
                        </w:rPr>
                      </w:pPr>
                      <w:r>
                        <w:rPr>
                          <w:rFonts w:hint="eastAsia" w:ascii="宋体" w:hAnsi="宋体"/>
                          <w:sz w:val="21"/>
                          <w:szCs w:val="21"/>
                        </w:rPr>
                        <w:t>（10）</w:t>
                      </w:r>
                    </w:p>
                  </w:txbxContent>
                </v:textbox>
              </v:shape>
            </w:pict>
          </mc:Fallback>
        </mc:AlternateContent>
      </w:r>
    </w:p>
    <w:p w14:paraId="7626EB65">
      <w:pPr>
        <w:spacing w:line="360" w:lineRule="exact"/>
        <w:jc w:val="left"/>
        <w:rPr>
          <w:rFonts w:ascii="宋体" w:cs="宋体"/>
          <w:color w:val="FF0000"/>
          <w:sz w:val="21"/>
          <w:szCs w:val="21"/>
        </w:rPr>
      </w:pPr>
    </w:p>
    <w:p w14:paraId="7BB37B91">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1008" behindDoc="0" locked="0" layoutInCell="1" allowOverlap="1">
                <wp:simplePos x="0" y="0"/>
                <wp:positionH relativeFrom="column">
                  <wp:posOffset>725805</wp:posOffset>
                </wp:positionH>
                <wp:positionV relativeFrom="paragraph">
                  <wp:posOffset>297815</wp:posOffset>
                </wp:positionV>
                <wp:extent cx="1695450" cy="781050"/>
                <wp:effectExtent l="0" t="3810" r="0" b="15240"/>
                <wp:wrapNone/>
                <wp:docPr id="31" name="自选图形 34"/>
                <wp:cNvGraphicFramePr/>
                <a:graphic xmlns:a="http://schemas.openxmlformats.org/drawingml/2006/main">
                  <a:graphicData uri="http://schemas.microsoft.com/office/word/2010/wordprocessingShape">
                    <wps:wsp>
                      <wps:cNvCnPr/>
                      <wps:spPr>
                        <a:xfrm flipH="1">
                          <a:off x="0" y="0"/>
                          <a:ext cx="1695450" cy="781050"/>
                        </a:xfrm>
                        <a:prstGeom prst="straightConnector1">
                          <a:avLst/>
                        </a:prstGeom>
                        <a:ln w="38100" cap="flat" cmpd="sng">
                          <a:solidFill>
                            <a:srgbClr val="000000"/>
                          </a:solidFill>
                          <a:prstDash val="solid"/>
                          <a:headEnd type="triangle" w="med" len="med"/>
                          <a:tailEnd type="triangle" w="med" len="med"/>
                        </a:ln>
                      </wps:spPr>
                      <wps:bodyPr/>
                    </wps:wsp>
                  </a:graphicData>
                </a:graphic>
              </wp:anchor>
            </w:drawing>
          </mc:Choice>
          <mc:Fallback>
            <w:pict>
              <v:shape id="自选图形 34" o:spid="_x0000_s1026" o:spt="32" type="#_x0000_t32" style="position:absolute;left:0pt;flip:x;margin-left:57.15pt;margin-top:23.45pt;height:61.5pt;width:133.5pt;z-index:251691008;mso-width-relative:page;mso-height-relative:page;" filled="f" stroked="t" coordsize="21600,21600" o:gfxdata="UEsDBAoAAAAAAIdO4kAAAAAAAAAAAAAAAAAEAAAAZHJzL1BLAwQUAAAACACHTuJAg8tMwdcAAAAK&#10;AQAADwAAAGRycy9kb3ducmV2LnhtbE2PwU7DMBBE70j8g7VIXBB1QqOoCXF6qBSJI5QCVzdekoh4&#10;HWI3bv+e5QTH2Xmanam2ZzuKBWc/OFKQrhIQSK0zA3UKDq/N/QaED5qMHh2hggt62NbXV5UujYv0&#10;gss+dIJDyJdaQR/CVErp2x6t9is3IbH36WarA8u5k2bWkcPtKB+SJJdWD8Qfej3hrsf2a3+yCmL+&#10;vftoniU9Rf++vF2wu8uaqNTtTZo8ggh4Dn8w/Nbn6lBzp6M7kfFiZJ1ma0YVZHkBgoH1JuXDkZ28&#10;KEDWlfw/of4BUEsDBBQAAAAIAIdO4kD+K/n4AgIAAP0DAAAOAAAAZHJzL2Uyb0RvYy54bWytU0uO&#10;EzEQ3SNxB8t7ppP5MbTSmUXCwAJBJOAAFdvdbck/uTzpZMcOcQZ2LLnDcJuR4BaU3SHAsMkCL6yy&#10;q+pVvefy7HprDduoiNq7hk9PJpwpJ7zUrmv4+3c3T644wwROgvFONXynkF/PHz+aDaFWp773RqrI&#10;CMRhPYSG9ymFuqpQ9MoCnvigHDlbHy0kOsaukhEGQremOp1MLqvBRxmiFwqRbpejk+8R4zGAvm21&#10;UEsvbq1yaUSNykAiStjrgHxeum1bJdKbtkWVmGk4MU1lpyJkr/NezWdQdxFCr8W+BTimhQecLGhH&#10;RQ9QS0jAbqP+B8pqET36Np0Ib6uRSFGEWEwnD7R520NQhQtJjeEgOv4/WPF6s4pMy4afTTlzYOnF&#10;v3/8+uPDp/vP3+7vvrCz86zRELCm0IVbxf0Jwypmwts2WtYaHV7SMBUJiBTbFoV3B4XVNjFBl9PL&#10;ZxfnFyS+IN/Tq+mEbAKsRpyMFyKmF8pblo2GY4qguz4tvHP0mD6ONWDzCtOY+CshJxvHBmJCuLkE&#10;0HS2NBVk2kAM0XWlQfRGyxttTE7B2K0XJrIN5Akpa9/RX2G5yhKwH+OKK4dB3SuQz51kaRdIuhQ1&#10;uM4onvuwSnJmFP2ybJXoBNocG02iGEfaZO1HtbO19nJXHqHc01QU9fYTnMfuz3PJ/v1r5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8tMwdcAAAAKAQAADwAAAAAAAAABACAAAAAiAAAAZHJzL2Rv&#10;d25yZXYueG1sUEsBAhQAFAAAAAgAh07iQP4r+fgCAgAA/QMAAA4AAAAAAAAAAQAgAAAAJgEAAGRy&#10;cy9lMm9Eb2MueG1sUEsFBgAAAAAGAAYAWQEAAJoFAAAAAA==&#10;">
                <v:fill on="f" focussize="0,0"/>
                <v:stroke weight="3pt" color="#000000" joinstyle="round" startarrow="block" endarrow="block"/>
                <v:imagedata o:title=""/>
                <o:lock v:ext="edit" aspectratio="f"/>
              </v:shape>
            </w:pict>
          </mc:Fallback>
        </mc:AlternateContent>
      </w:r>
      <w:r>
        <w:rPr>
          <w:rFonts w:ascii="宋体" w:cs="宋体"/>
          <w:color w:val="FF0000"/>
          <w:sz w:val="21"/>
          <w:szCs w:val="21"/>
        </w:rPr>
        <mc:AlternateContent>
          <mc:Choice Requires="wps">
            <w:drawing>
              <wp:anchor distT="0" distB="0" distL="114300" distR="114300" simplePos="0" relativeHeight="251689984" behindDoc="0" locked="0" layoutInCell="1" allowOverlap="1">
                <wp:simplePos x="0" y="0"/>
                <wp:positionH relativeFrom="column">
                  <wp:posOffset>3068955</wp:posOffset>
                </wp:positionH>
                <wp:positionV relativeFrom="paragraph">
                  <wp:posOffset>90170</wp:posOffset>
                </wp:positionV>
                <wp:extent cx="438150" cy="95250"/>
                <wp:effectExtent l="0" t="4445" r="0" b="52705"/>
                <wp:wrapNone/>
                <wp:docPr id="30" name="自选图形 35"/>
                <wp:cNvGraphicFramePr/>
                <a:graphic xmlns:a="http://schemas.openxmlformats.org/drawingml/2006/main">
                  <a:graphicData uri="http://schemas.microsoft.com/office/word/2010/wordprocessingShape">
                    <wps:wsp>
                      <wps:cNvCnPr/>
                      <wps:spPr>
                        <a:xfrm flipV="1">
                          <a:off x="0" y="0"/>
                          <a:ext cx="438150" cy="95250"/>
                        </a:xfrm>
                        <a:prstGeom prst="curvedConnector3">
                          <a:avLst>
                            <a:gd name="adj1" fmla="val 50000"/>
                          </a:avLst>
                        </a:prstGeom>
                        <a:ln w="9525" cap="flat" cmpd="sng">
                          <a:solidFill>
                            <a:srgbClr val="000000"/>
                          </a:solidFill>
                          <a:prstDash val="solid"/>
                          <a:headEnd type="stealth" w="med" len="med"/>
                          <a:tailEnd type="none" w="med" len="med"/>
                        </a:ln>
                      </wps:spPr>
                      <wps:bodyPr/>
                    </wps:wsp>
                  </a:graphicData>
                </a:graphic>
              </wp:anchor>
            </w:drawing>
          </mc:Choice>
          <mc:Fallback>
            <w:pict>
              <v:shape id="自选图形 35" o:spid="_x0000_s1026" o:spt="38" type="#_x0000_t38" style="position:absolute;left:0pt;flip:y;margin-left:241.65pt;margin-top:7.1pt;height:7.5pt;width:34.5pt;z-index:251689984;mso-width-relative:page;mso-height-relative:page;" filled="f" stroked="t" coordsize="21600,21600" o:gfxdata="UEsDBAoAAAAAAIdO4kAAAAAAAAAAAAAAAAAEAAAAZHJzL1BLAwQUAAAACACHTuJAeW3WhtcAAAAJ&#10;AQAADwAAAGRycy9kb3ducmV2LnhtbE2PwU7DMAyG70i8Q2Qkbixdu6HRNZ0QAmlX1kmDW9p4TaFx&#10;qibdxttjTuxo/59+fy42F9eLE46h86RgPktAIDXedNQq2FdvDysQIWoyuveECn4wwKa8vSl0bvyZ&#10;3vG0i63gEgq5VmBjHHIpQ2PR6TDzAxJnRz86HXkcW2lGfeZy18s0SR6l0x3xBasHfLHYfO8mp+D1&#10;yz2T66at3X587itZH7IqHJS6v5snaxARL/Efhj99VoeSnWo/kQmiV7BYZRmjHCxSEAwslykvagXp&#10;UwqyLOT1B+UvUEsDBBQAAAAIAIdO4kASEl6OFwIAACAEAAAOAAAAZHJzL2Uyb0RvYy54bWytU0uO&#10;EzEQ3SNxB8t70vkQNLTSmUXCsEEQic++4k/ayD/ZTjrZsUOcgR1L7jDcZiS4BWV3k4GBxSzwwiq7&#10;yq/qvSovLo9Gk4MIUTnb0MloTImwzHFldw19++bq0QUlMYHloJ0VDT2JSC+XDx8sOl+LqWud5iIQ&#10;BLGx7nxD25R8XVWRtcJAHDkvLDqlCwYSHsOu4gE6RDe6mo7HT6rOBe6DYyJGvF33TjoghvsAOikV&#10;E2vH9kbY1KMGoSEhpdgqH+myVCulYOmVlFEkohuKTFPZMQna27xXywXUuwC+VWwoAe5Twh1OBpTF&#10;pGeoNSQg+6D+gjKKBRedTCPmTNUTKYogi8n4jjavW/CicEGpoz+LHv8fLHt52ASieENnKIkFgx3/&#10;/vHrjw+fbj5/u7n+QmbzrFHnY42hK7sJwyn6TciEjzIYIrXy73CYigRIihyLwqezwuKYCMPLx7OL&#10;yRwTMXQ9nU/RRLiqR8loPsT0XDhDstFQtg8HwVfOWmykC7OCD4cXMRWt+VAw8PcTSqTR2LoDaDIf&#10;4xqQh2jM8Qs7P9WWdH0FWAvgFEucHjSNRyWi3ZVE0WnFr5TW+UUMu+1KB4L4yKqsIcMfYTnJGmLb&#10;xxVXDoO6FcCfWU7SyaPEMQnQqaW5CiM4JVrgZ8xWCU6g9G2wxX/470hkpS0KmNvTNyRbW8dPpU/l&#10;HgenSDwMeZ7M38/l9e3HXv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W3WhtcAAAAJAQAADwAA&#10;AAAAAAABACAAAAAiAAAAZHJzL2Rvd25yZXYueG1sUEsBAhQAFAAAAAgAh07iQBISXo4XAgAAIAQA&#10;AA4AAAAAAAAAAQAgAAAAJgEAAGRycy9lMm9Eb2MueG1sUEsFBgAAAAAGAAYAWQEAAK8FAAAAAA==&#10;" adj="10800">
                <v:fill on="f" focussize="0,0"/>
                <v:stroke color="#000000" joinstyle="round" startarrow="classic"/>
                <v:imagedata o:title=""/>
                <o:lock v:ext="edit" aspectratio="f"/>
              </v:shape>
            </w:pict>
          </mc:Fallback>
        </mc:AlternateContent>
      </w:r>
    </w:p>
    <w:p w14:paraId="05417E6B">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4080" behindDoc="0" locked="0" layoutInCell="1" allowOverlap="1">
                <wp:simplePos x="0" y="0"/>
                <wp:positionH relativeFrom="column">
                  <wp:posOffset>3691890</wp:posOffset>
                </wp:positionH>
                <wp:positionV relativeFrom="paragraph">
                  <wp:posOffset>173990</wp:posOffset>
                </wp:positionV>
                <wp:extent cx="1812290" cy="830580"/>
                <wp:effectExtent l="4445" t="4445" r="12065" b="22225"/>
                <wp:wrapNone/>
                <wp:docPr id="34" name="文本框 36"/>
                <wp:cNvGraphicFramePr/>
                <a:graphic xmlns:a="http://schemas.openxmlformats.org/drawingml/2006/main">
                  <a:graphicData uri="http://schemas.microsoft.com/office/word/2010/wordprocessingShape">
                    <wps:wsp>
                      <wps:cNvSpPr txBox="1"/>
                      <wps:spPr>
                        <a:xfrm>
                          <a:off x="0" y="0"/>
                          <a:ext cx="1812290" cy="830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DA12A5">
                            <w:pPr>
                              <w:rPr>
                                <w:rFonts w:ascii="宋体" w:hAnsi="宋体"/>
                                <w:sz w:val="21"/>
                                <w:szCs w:val="21"/>
                              </w:rPr>
                            </w:pPr>
                            <w:r>
                              <w:rPr>
                                <w:rFonts w:hint="eastAsia" w:ascii="宋体" w:hAnsi="宋体"/>
                                <w:sz w:val="21"/>
                                <w:szCs w:val="21"/>
                              </w:rPr>
                              <w:t>M3监视测量分析与评价</w:t>
                            </w:r>
                          </w:p>
                          <w:p w14:paraId="7BE00555">
                            <w:pPr>
                              <w:rPr>
                                <w:rFonts w:ascii="宋体" w:hAnsi="宋体"/>
                                <w:sz w:val="21"/>
                                <w:szCs w:val="21"/>
                              </w:rPr>
                            </w:pPr>
                            <w:r>
                              <w:rPr>
                                <w:rFonts w:hint="eastAsia" w:ascii="宋体" w:hAnsi="宋体"/>
                                <w:sz w:val="21"/>
                                <w:szCs w:val="21"/>
                              </w:rPr>
                              <w:t>M4顾客满意</w:t>
                            </w:r>
                          </w:p>
                          <w:p w14:paraId="1194613A">
                            <w:pPr>
                              <w:rPr>
                                <w:rFonts w:ascii="宋体" w:hAnsi="宋体"/>
                                <w:sz w:val="21"/>
                                <w:szCs w:val="21"/>
                              </w:rPr>
                            </w:pPr>
                            <w:r>
                              <w:rPr>
                                <w:rFonts w:hint="eastAsia" w:ascii="宋体" w:hAnsi="宋体"/>
                                <w:sz w:val="21"/>
                                <w:szCs w:val="21"/>
                              </w:rPr>
                              <w:t>M5内部审核</w:t>
                            </w:r>
                          </w:p>
                          <w:p w14:paraId="32C5E2AF">
                            <w:pPr>
                              <w:rPr>
                                <w:rFonts w:ascii="宋体" w:hAnsi="宋体"/>
                                <w:sz w:val="21"/>
                                <w:szCs w:val="21"/>
                              </w:rPr>
                            </w:pPr>
                            <w:r>
                              <w:rPr>
                                <w:rFonts w:hint="eastAsia" w:ascii="宋体" w:hAnsi="宋体"/>
                                <w:sz w:val="21"/>
                                <w:szCs w:val="21"/>
                              </w:rPr>
                              <w:t>M6管理评审</w:t>
                            </w:r>
                          </w:p>
                          <w:p w14:paraId="50AE5668">
                            <w:pPr>
                              <w:rPr>
                                <w:rFonts w:ascii="宋体" w:hAnsi="宋体"/>
                                <w:sz w:val="21"/>
                                <w:szCs w:val="21"/>
                              </w:rPr>
                            </w:pPr>
                          </w:p>
                        </w:txbxContent>
                      </wps:txbx>
                      <wps:bodyPr upright="1"/>
                    </wps:wsp>
                  </a:graphicData>
                </a:graphic>
              </wp:anchor>
            </w:drawing>
          </mc:Choice>
          <mc:Fallback>
            <w:pict>
              <v:shape id="文本框 36" o:spid="_x0000_s1026" o:spt="202" type="#_x0000_t202" style="position:absolute;left:0pt;margin-left:290.7pt;margin-top:13.7pt;height:65.4pt;width:142.7pt;z-index:251694080;mso-width-relative:page;mso-height-relative:page;" fillcolor="#FFFFFF" filled="t" stroked="t" coordsize="21600,21600" o:gfxdata="UEsDBAoAAAAAAIdO4kAAAAAAAAAAAAAAAAAEAAAAZHJzL1BLAwQUAAAACACHTuJAc7WFmdkAAAAK&#10;AQAADwAAAGRycy9kb3ducmV2LnhtbE2Py07DMBBF90j8gzVIbBB1EtrUhDhdIIFgV0pVtm48TSL8&#10;CLablr9nWMFqNJqjO+fWq7M1bMIQB+8k5LMMGLrW68F1ErbvT7cCWEzKaWW8QwnfGGHVXF7UqtL+&#10;5N5w2qSOUYiLlZLQpzRWnMe2R6vizI/o6HbwwapEa+i4DupE4dbwIstKbtXg6EOvRnzssf3cHK0E&#10;MX+ZPuLr3XrXlgdzn26W0/NXkPL6Ks8egCU8pz8YfvVJHRpy2vuj05EZCQuRzwmVUCxpEiDKkrrs&#10;iVyIAnhT8/8Vmh9QSwMEFAAAAAgAh07iQCrqEOIPAgAAOAQAAA4AAABkcnMvZTJvRG9jLnhtbK1T&#10;S44TMRDdI3EHy3vSnYSMMq10RoIQNgiQBg7g2O5uS/7J5aQ7F4AbsGLDnnPlHJSdTObDLLKYXrjL&#10;rqrneq/Ki5vBaLKTAZSzNR2PSkqk5U4o29b0+7f1mzklEJkVTDsra7qXQG+Wr18tel/JieucFjIQ&#10;BLFQ9b6mXYy+KgrgnTQMRs5Li87GBcMibkNbiMB6RDe6mJTlVdG7IHxwXALg6eropCfEcAmgaxrF&#10;5crxrZE2HlGD1CwiJeiUB7rM1TaN5PFL04CMRNcUmca84iVob9JaLBesagPzneKnEtglJTzhZJiy&#10;eOkZasUiI9ug/oMyigcHrokj7kxxJJIVQRbj8ok2tx3zMnNBqcGfRYeXg+Wfd18DUaKm07eUWGaw&#10;44dfPw+//x7+/CDTqyRQ76HCuFuPkXF45wYcm7tzwMPEe2iCSX9kRNCP8u7P8sohEp6S5uPJ5Bpd&#10;HH3zaTmbZ/2L+2wfIH6UzpBk1DRg+7KqbPcJIlaCoXch6TJwWom10jpvQrt5rwPZMWz1On+pSEx5&#10;FKYt6Wt6PZvMsA6G89vg3KBpPGoAts33PcqAh8Bl/p4DToWtGHTHAjJCCmOVUVGGbHWSiQ9WkLj3&#10;KLPF50VTMUYKSrTE15isHBmZ0pdEIjttkWRq0bEVyYrDZkCYZG6c2GPbtj6otkNJc+NyOA5UVuc0&#10;/GliH+4z6P2D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7WFmdkAAAAKAQAADwAAAAAAAAAB&#10;ACAAAAAiAAAAZHJzL2Rvd25yZXYueG1sUEsBAhQAFAAAAAgAh07iQCrqEOIPAgAAOAQAAA4AAAAA&#10;AAAAAQAgAAAAKAEAAGRycy9lMm9Eb2MueG1sUEsFBgAAAAAGAAYAWQEAAKkFAAAAAA==&#10;">
                <v:fill on="t" focussize="0,0"/>
                <v:stroke color="#000000" joinstyle="miter"/>
                <v:imagedata o:title=""/>
                <o:lock v:ext="edit" aspectratio="f"/>
                <v:textbox>
                  <w:txbxContent>
                    <w:p w14:paraId="6DDA12A5">
                      <w:pPr>
                        <w:rPr>
                          <w:rFonts w:ascii="宋体" w:hAnsi="宋体"/>
                          <w:sz w:val="21"/>
                          <w:szCs w:val="21"/>
                        </w:rPr>
                      </w:pPr>
                      <w:r>
                        <w:rPr>
                          <w:rFonts w:hint="eastAsia" w:ascii="宋体" w:hAnsi="宋体"/>
                          <w:sz w:val="21"/>
                          <w:szCs w:val="21"/>
                        </w:rPr>
                        <w:t>M3监视测量分析与评价</w:t>
                      </w:r>
                    </w:p>
                    <w:p w14:paraId="7BE00555">
                      <w:pPr>
                        <w:rPr>
                          <w:rFonts w:ascii="宋体" w:hAnsi="宋体"/>
                          <w:sz w:val="21"/>
                          <w:szCs w:val="21"/>
                        </w:rPr>
                      </w:pPr>
                      <w:r>
                        <w:rPr>
                          <w:rFonts w:hint="eastAsia" w:ascii="宋体" w:hAnsi="宋体"/>
                          <w:sz w:val="21"/>
                          <w:szCs w:val="21"/>
                        </w:rPr>
                        <w:t>M4顾客满意</w:t>
                      </w:r>
                    </w:p>
                    <w:p w14:paraId="1194613A">
                      <w:pPr>
                        <w:rPr>
                          <w:rFonts w:ascii="宋体" w:hAnsi="宋体"/>
                          <w:sz w:val="21"/>
                          <w:szCs w:val="21"/>
                        </w:rPr>
                      </w:pPr>
                      <w:r>
                        <w:rPr>
                          <w:rFonts w:hint="eastAsia" w:ascii="宋体" w:hAnsi="宋体"/>
                          <w:sz w:val="21"/>
                          <w:szCs w:val="21"/>
                        </w:rPr>
                        <w:t>M5内部审核</w:t>
                      </w:r>
                    </w:p>
                    <w:p w14:paraId="32C5E2AF">
                      <w:pPr>
                        <w:rPr>
                          <w:rFonts w:ascii="宋体" w:hAnsi="宋体"/>
                          <w:sz w:val="21"/>
                          <w:szCs w:val="21"/>
                        </w:rPr>
                      </w:pPr>
                      <w:r>
                        <w:rPr>
                          <w:rFonts w:hint="eastAsia" w:ascii="宋体" w:hAnsi="宋体"/>
                          <w:sz w:val="21"/>
                          <w:szCs w:val="21"/>
                        </w:rPr>
                        <w:t>M6管理评审</w:t>
                      </w:r>
                    </w:p>
                    <w:p w14:paraId="50AE5668">
                      <w:pPr>
                        <w:rPr>
                          <w:rFonts w:ascii="宋体" w:hAnsi="宋体"/>
                          <w:sz w:val="21"/>
                          <w:szCs w:val="21"/>
                        </w:rPr>
                      </w:pPr>
                    </w:p>
                  </w:txbxContent>
                </v:textbox>
              </v:shape>
            </w:pict>
          </mc:Fallback>
        </mc:AlternateContent>
      </w:r>
    </w:p>
    <w:p w14:paraId="792AE91E">
      <w:pPr>
        <w:spacing w:line="480" w:lineRule="exact"/>
        <w:jc w:val="left"/>
        <w:rPr>
          <w:rFonts w:ascii="宋体" w:cs="宋体"/>
          <w:color w:val="FF0000"/>
          <w:sz w:val="21"/>
          <w:szCs w:val="21"/>
        </w:rPr>
      </w:pPr>
    </w:p>
    <w:p w14:paraId="428C57D9">
      <w:pPr>
        <w:spacing w:line="480" w:lineRule="exact"/>
        <w:jc w:val="left"/>
        <w:rPr>
          <w:rFonts w:ascii="宋体" w:cs="宋体"/>
          <w:color w:val="FF0000"/>
          <w:sz w:val="21"/>
          <w:szCs w:val="21"/>
        </w:rPr>
      </w:pPr>
      <w:r>
        <w:rPr>
          <w:rFonts w:ascii="宋体" w:cs="宋体"/>
          <w:color w:val="FF0000"/>
          <w:sz w:val="21"/>
          <w:szCs w:val="21"/>
        </w:rPr>
        <mc:AlternateContent>
          <mc:Choice Requires="wps">
            <w:drawing>
              <wp:anchor distT="0" distB="0" distL="114300" distR="114300" simplePos="0" relativeHeight="251692032" behindDoc="0" locked="0" layoutInCell="1" allowOverlap="1">
                <wp:simplePos x="0" y="0"/>
                <wp:positionH relativeFrom="column">
                  <wp:posOffset>-7620</wp:posOffset>
                </wp:positionH>
                <wp:positionV relativeFrom="paragraph">
                  <wp:posOffset>237490</wp:posOffset>
                </wp:positionV>
                <wp:extent cx="1857375" cy="379730"/>
                <wp:effectExtent l="4445" t="4445" r="5080" b="15875"/>
                <wp:wrapNone/>
                <wp:docPr id="32" name="文本框 37"/>
                <wp:cNvGraphicFramePr/>
                <a:graphic xmlns:a="http://schemas.openxmlformats.org/drawingml/2006/main">
                  <a:graphicData uri="http://schemas.microsoft.com/office/word/2010/wordprocessingShape">
                    <wps:wsp>
                      <wps:cNvSpPr txBox="1"/>
                      <wps:spPr>
                        <a:xfrm>
                          <a:off x="0" y="0"/>
                          <a:ext cx="1857375" cy="379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2FE462">
                            <w:pPr>
                              <w:rPr>
                                <w:rFonts w:ascii="宋体" w:hAnsi="宋体"/>
                                <w:sz w:val="21"/>
                                <w:szCs w:val="21"/>
                              </w:rPr>
                            </w:pPr>
                            <w:r>
                              <w:rPr>
                                <w:rFonts w:hint="eastAsia" w:ascii="宋体" w:hAnsi="宋体"/>
                                <w:sz w:val="21"/>
                                <w:szCs w:val="21"/>
                              </w:rPr>
                              <w:t>M7不符合纠正措施与改进</w:t>
                            </w:r>
                          </w:p>
                        </w:txbxContent>
                      </wps:txbx>
                      <wps:bodyPr upright="1"/>
                    </wps:wsp>
                  </a:graphicData>
                </a:graphic>
              </wp:anchor>
            </w:drawing>
          </mc:Choice>
          <mc:Fallback>
            <w:pict>
              <v:shape id="文本框 37" o:spid="_x0000_s1026" o:spt="202" type="#_x0000_t202" style="position:absolute;left:0pt;margin-left:-0.6pt;margin-top:18.7pt;height:29.9pt;width:146.25pt;z-index:251692032;mso-width-relative:page;mso-height-relative:page;" fillcolor="#FFFFFF" filled="t" stroked="t" coordsize="21600,21600" o:gfxdata="UEsDBAoAAAAAAIdO4kAAAAAAAAAAAAAAAAAEAAAAZHJzL1BLAwQUAAAACACHTuJAlgFa5NgAAAAI&#10;AQAADwAAAGRycy9kb3ducmV2LnhtbE2PzU7DMBCE70i8g7VIXFDr/FRNE7LpAQkENygIrm68TSLi&#10;dbDdtLw95gTH0Yxmvqm3ZzOKmZwfLCOkywQEcWv1wB3C2+v9YgPCB8VajZYJ4Zs8bJvLi1pV2p74&#10;heZd6EQsYV8phD6EqZLStz0Z5Zd2Io7ewTqjQpSuk9qpUyw3o8ySZC2NGjgu9Gqiu57az93RIGxW&#10;j/OHf8qf39v1YSzDTTE/fDnE66s0uQUR6Bz+wvCLH9GhiUx7e2TtxYiwSLOYRMiLFYjoZ2Wag9gj&#10;lEUGsqnl/wPND1BLAwQUAAAACACHTuJAohul5w4CAAA4BAAADgAAAGRycy9lMm9Eb2MueG1srVNL&#10;jhMxEN0jcQfLe9KZtEJmWumMBCFsECANHMCx3d2W/JPLSXcuADdgxYY958o5KLszmQ8ssqAX7rJd&#10;fn7vVXl5OxhN9jKAcramV5MpJdJyJ5Rta/r1y+bVNSUQmRVMOytrepBAb1cvXyx7X8mZ65wWMhAE&#10;sVD1vqZdjL4qCuCdNAwmzkuLm40LhkWchrYQgfWIbnQxm05fF70LwgfHJQCursdNekIMlwC6plFc&#10;rh3fGWnjiBqkZhElQac80FVm2zSSx09NAzISXVNUGvOIl2C8TWOxWrKqDcx3ip8osEsoPNNkmLJ4&#10;6RlqzSIju6D+gjKKBweuiRPuTDEKyY6giqvpM2/uOuZl1oJWgz+bDv8Pln/cfw5EiZqWM0osM1jx&#10;44/vx5+/j7++kXKRDOo9VJh35zEzDm/cgG1zvw64mHQPTTDpj4oI7qO9h7O9coiEp0PX80W5mFPC&#10;ca9c3CzK7H/xcNoHiO+lMyQFNQ1Yvuwq23+AiEww9T4lXQZOK7FRWudJaLdvdSB7hqXe5C+RxCNP&#10;0rQlfU1v5rPEg2H/Ntg3GBqPHoBt831PTsBj4Gn+/gWciK0ZdCOBjJDSWGVUlCFHnWTinRUkHjza&#10;bPF50UTGSEGJlvgaU5QzI1P6kkxUpy2KTCUaS5GiOGwHhEnh1okDlm3ng2o7tDQXLqdjQ2V3Ts2f&#10;OvbxPIM+PPj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BWuTYAAAACAEAAA8AAAAAAAAAAQAg&#10;AAAAIgAAAGRycy9kb3ducmV2LnhtbFBLAQIUABQAAAAIAIdO4kCiG6XnDgIAADgEAAAOAAAAAAAA&#10;AAEAIAAAACcBAABkcnMvZTJvRG9jLnhtbFBLBQYAAAAABgAGAFkBAACnBQAAAAA=&#10;">
                <v:fill on="t" focussize="0,0"/>
                <v:stroke color="#000000" joinstyle="miter"/>
                <v:imagedata o:title=""/>
                <o:lock v:ext="edit" aspectratio="f"/>
                <v:textbox>
                  <w:txbxContent>
                    <w:p w14:paraId="762FE462">
                      <w:pPr>
                        <w:rPr>
                          <w:rFonts w:ascii="宋体" w:hAnsi="宋体"/>
                          <w:sz w:val="21"/>
                          <w:szCs w:val="21"/>
                        </w:rPr>
                      </w:pPr>
                      <w:r>
                        <w:rPr>
                          <w:rFonts w:hint="eastAsia" w:ascii="宋体" w:hAnsi="宋体"/>
                          <w:sz w:val="21"/>
                          <w:szCs w:val="21"/>
                        </w:rPr>
                        <w:t>M7不符合纠正措施与改进</w:t>
                      </w:r>
                    </w:p>
                  </w:txbxContent>
                </v:textbox>
              </v:shape>
            </w:pict>
          </mc:Fallback>
        </mc:AlternateContent>
      </w:r>
    </w:p>
    <w:p w14:paraId="4062A6E8">
      <w:pPr>
        <w:spacing w:line="480" w:lineRule="exact"/>
        <w:jc w:val="left"/>
        <w:rPr>
          <w:rFonts w:ascii="宋体" w:cs="宋体"/>
          <w:color w:val="FF0000"/>
          <w:sz w:val="21"/>
          <w:szCs w:val="21"/>
        </w:rPr>
      </w:pPr>
    </w:p>
    <w:p w14:paraId="38916517">
      <w:pPr>
        <w:rPr>
          <w:sz w:val="21"/>
          <w:szCs w:val="21"/>
          <w:u w:val="single"/>
        </w:rPr>
      </w:pPr>
    </w:p>
    <w:p w14:paraId="787C6C74">
      <w:pPr>
        <w:spacing w:line="480" w:lineRule="exact"/>
        <w:jc w:val="center"/>
        <w:rPr>
          <w:rFonts w:ascii="宋体" w:hAnsi="宋体"/>
          <w:sz w:val="21"/>
          <w:szCs w:val="21"/>
        </w:rPr>
      </w:pPr>
      <w:r>
        <w:rPr>
          <w:rFonts w:hint="eastAsia" w:ascii="宋体" w:hAnsi="宋体"/>
          <w:sz w:val="21"/>
          <w:szCs w:val="21"/>
        </w:rPr>
        <w:t>公司管理体系过程图</w:t>
      </w:r>
    </w:p>
    <w:p w14:paraId="209DD306">
      <w:pPr>
        <w:spacing w:line="480" w:lineRule="exact"/>
        <w:jc w:val="center"/>
        <w:rPr>
          <w:rFonts w:ascii="宋体" w:cs="宋体"/>
          <w:color w:val="000000"/>
          <w:sz w:val="21"/>
          <w:szCs w:val="21"/>
        </w:rPr>
      </w:pPr>
    </w:p>
    <w:p w14:paraId="4E854026">
      <w:pPr>
        <w:pStyle w:val="2"/>
        <w:spacing w:line="400" w:lineRule="exact"/>
        <w:rPr>
          <w:rFonts w:ascii="宋体" w:hAnsi="宋体"/>
          <w:sz w:val="28"/>
          <w:szCs w:val="28"/>
        </w:rPr>
      </w:pPr>
      <w:bookmarkStart w:id="47" w:name="_Toc509844112"/>
      <w:bookmarkStart w:id="48" w:name="_Toc509844802"/>
      <w:bookmarkStart w:id="49" w:name="_Toc521509445"/>
      <w:bookmarkStart w:id="50" w:name="_Toc509845134"/>
      <w:r>
        <w:rPr>
          <w:rFonts w:hint="eastAsia" w:ascii="宋体" w:hAnsi="宋体"/>
          <w:sz w:val="28"/>
          <w:szCs w:val="28"/>
        </w:rPr>
        <w:t>5领导作用</w:t>
      </w:r>
      <w:bookmarkEnd w:id="47"/>
      <w:bookmarkEnd w:id="48"/>
      <w:bookmarkEnd w:id="49"/>
      <w:bookmarkEnd w:id="50"/>
    </w:p>
    <w:p w14:paraId="5B127C13">
      <w:pPr>
        <w:pStyle w:val="3"/>
        <w:spacing w:before="120" w:beforeLines="50" w:after="120" w:afterLines="50" w:line="400" w:lineRule="exact"/>
        <w:rPr>
          <w:rFonts w:ascii="宋体" w:hAnsi="宋体" w:eastAsia="宋体"/>
          <w:szCs w:val="28"/>
        </w:rPr>
      </w:pPr>
      <w:bookmarkStart w:id="51" w:name="_Toc509845135"/>
      <w:bookmarkStart w:id="52" w:name="_Toc509844803"/>
      <w:bookmarkStart w:id="53" w:name="_Toc509844113"/>
      <w:bookmarkStart w:id="54" w:name="_Toc521509446"/>
      <w:r>
        <w:rPr>
          <w:rFonts w:hint="eastAsia" w:ascii="宋体" w:hAnsi="宋体" w:eastAsia="宋体"/>
          <w:sz w:val="24"/>
          <w:szCs w:val="24"/>
        </w:rPr>
        <w:t>5.1领导作用和承诺</w:t>
      </w:r>
      <w:bookmarkEnd w:id="51"/>
      <w:bookmarkEnd w:id="52"/>
      <w:bookmarkEnd w:id="53"/>
      <w:bookmarkEnd w:id="54"/>
    </w:p>
    <w:p w14:paraId="20E6A3E4">
      <w:pPr>
        <w:spacing w:line="400" w:lineRule="exact"/>
        <w:rPr>
          <w:rFonts w:ascii="宋体" w:hAnsi="宋体"/>
          <w:sz w:val="21"/>
          <w:szCs w:val="21"/>
        </w:rPr>
      </w:pPr>
      <w:r>
        <w:rPr>
          <w:rFonts w:ascii="宋体" w:hAnsi="宋体"/>
          <w:sz w:val="21"/>
          <w:szCs w:val="21"/>
        </w:rPr>
        <w:t>5.1.1总则</w:t>
      </w:r>
    </w:p>
    <w:p w14:paraId="6EB1E7BF">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 xml:space="preserve">站在公司的宗旨“创新、高效”和战略方向“成为军民融合型科技企业的领军者”的全局高度，承诺、建立、实施并持续改进质量管理体系，采取有效措施确保体系的充分性、适宜性和有效性。通过履行以下职责，证实其对质量管理体系的领导作用和承诺： </w:t>
      </w:r>
    </w:p>
    <w:p w14:paraId="0E0A0C9A">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通过管理评审，持续的绩效监视等活动，</w:t>
      </w:r>
      <w:r>
        <w:rPr>
          <w:rFonts w:ascii="宋体" w:hAnsi="宋体"/>
          <w:sz w:val="21"/>
          <w:szCs w:val="21"/>
        </w:rPr>
        <w:t>对质量管理体系的有效性</w:t>
      </w:r>
      <w:r>
        <w:rPr>
          <w:rFonts w:hint="eastAsia" w:ascii="宋体" w:hAnsi="宋体"/>
          <w:sz w:val="21"/>
          <w:szCs w:val="21"/>
        </w:rPr>
        <w:t>负</w:t>
      </w:r>
      <w:r>
        <w:rPr>
          <w:rFonts w:ascii="宋体" w:hAnsi="宋体"/>
          <w:sz w:val="21"/>
          <w:szCs w:val="21"/>
        </w:rPr>
        <w:t>责；</w:t>
      </w:r>
    </w:p>
    <w:p w14:paraId="54E5466F">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确保</w:t>
      </w:r>
      <w:r>
        <w:rPr>
          <w:rFonts w:ascii="宋体" w:hAnsi="宋体"/>
          <w:sz w:val="21"/>
          <w:szCs w:val="21"/>
        </w:rPr>
        <w:t>制定质量管理体系的质量方针和质量目标，并与组织环境</w:t>
      </w:r>
      <w:r>
        <w:rPr>
          <w:rFonts w:hint="eastAsia" w:ascii="宋体" w:hAnsi="宋体"/>
          <w:sz w:val="21"/>
          <w:szCs w:val="21"/>
        </w:rPr>
        <w:t>相适应，与</w:t>
      </w:r>
      <w:r>
        <w:rPr>
          <w:rFonts w:ascii="宋体" w:hAnsi="宋体"/>
          <w:sz w:val="21"/>
          <w:szCs w:val="21"/>
        </w:rPr>
        <w:t>战略方向</w:t>
      </w:r>
      <w:r>
        <w:rPr>
          <w:rFonts w:hint="eastAsia" w:ascii="宋体" w:hAnsi="宋体"/>
          <w:sz w:val="21"/>
          <w:szCs w:val="21"/>
        </w:rPr>
        <w:t>“成为军民融合型科技企业的领军者”</w:t>
      </w:r>
      <w:r>
        <w:rPr>
          <w:rFonts w:ascii="宋体" w:hAnsi="宋体"/>
          <w:sz w:val="21"/>
          <w:szCs w:val="21"/>
        </w:rPr>
        <w:t>相一致；</w:t>
      </w:r>
    </w:p>
    <w:p w14:paraId="2A320416">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确保公司的经营活动、产品和服务的实现过程能有效落实质量管理体系要求，将体系的要求融入实践业务流程中，避免两层皮现象；</w:t>
      </w:r>
    </w:p>
    <w:p w14:paraId="34062D30">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使用过程方法、PDCA 循环和基于风险的思维建立健全的质量管理体系，作为质量管理的核心要求促进各过程运行、工作的应用，推动公司管理过程的改进； </w:t>
      </w:r>
    </w:p>
    <w:p w14:paraId="3ECFEED2">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 xml:space="preserve">确保提供质量管理体系所需的组织机构、管理制度、人员、设施、设备、环境、知识、信息等资源的配置和获得；   </w:t>
      </w:r>
    </w:p>
    <w:p w14:paraId="719BEB47">
      <w:pPr>
        <w:spacing w:line="400" w:lineRule="exact"/>
        <w:ind w:firstLine="420" w:firstLineChars="200"/>
        <w:rPr>
          <w:rFonts w:ascii="宋体" w:hAnsi="宋体"/>
          <w:sz w:val="21"/>
          <w:szCs w:val="21"/>
        </w:rPr>
      </w:pPr>
      <w:r>
        <w:rPr>
          <w:rFonts w:ascii="宋体" w:hAnsi="宋体"/>
          <w:sz w:val="21"/>
          <w:szCs w:val="21"/>
        </w:rPr>
        <w:t>f)进行沟通</w:t>
      </w:r>
      <w:r>
        <w:rPr>
          <w:rFonts w:hint="eastAsia" w:ascii="宋体" w:hAnsi="宋体"/>
          <w:sz w:val="21"/>
          <w:szCs w:val="21"/>
        </w:rPr>
        <w:t>交流</w:t>
      </w:r>
      <w:r>
        <w:rPr>
          <w:rFonts w:ascii="宋体" w:hAnsi="宋体"/>
          <w:sz w:val="21"/>
          <w:szCs w:val="21"/>
        </w:rPr>
        <w:t>，确保全员理解有效的质量管理和符合质量管理体系要求的重要性，积极主动参与和配合</w:t>
      </w:r>
      <w:r>
        <w:rPr>
          <w:rFonts w:hint="eastAsia" w:ascii="宋体" w:hAnsi="宋体"/>
          <w:sz w:val="21"/>
          <w:szCs w:val="21"/>
        </w:rPr>
        <w:t>，</w:t>
      </w:r>
      <w:r>
        <w:rPr>
          <w:rFonts w:ascii="宋体" w:hAnsi="宋体"/>
          <w:sz w:val="21"/>
          <w:szCs w:val="21"/>
        </w:rPr>
        <w:t>通过考核、培</w:t>
      </w:r>
      <w:r>
        <w:rPr>
          <w:rFonts w:hint="eastAsia" w:ascii="宋体" w:hAnsi="宋体"/>
          <w:sz w:val="21"/>
          <w:szCs w:val="21"/>
        </w:rPr>
        <w:t>训</w:t>
      </w:r>
      <w:r>
        <w:rPr>
          <w:rFonts w:ascii="宋体" w:hAnsi="宋体"/>
          <w:sz w:val="21"/>
          <w:szCs w:val="21"/>
        </w:rPr>
        <w:t>、分享知识、奖</w:t>
      </w:r>
      <w:r>
        <w:rPr>
          <w:rFonts w:hint="eastAsia" w:ascii="宋体" w:hAnsi="宋体"/>
          <w:sz w:val="21"/>
          <w:szCs w:val="21"/>
        </w:rPr>
        <w:t>惩</w:t>
      </w:r>
      <w:r>
        <w:rPr>
          <w:rFonts w:ascii="宋体" w:hAnsi="宋体"/>
          <w:sz w:val="21"/>
          <w:szCs w:val="21"/>
        </w:rPr>
        <w:t>制度</w:t>
      </w:r>
      <w:r>
        <w:rPr>
          <w:rFonts w:hint="eastAsia" w:ascii="宋体" w:hAnsi="宋体"/>
          <w:sz w:val="21"/>
          <w:szCs w:val="21"/>
        </w:rPr>
        <w:t>，</w:t>
      </w:r>
      <w:r>
        <w:rPr>
          <w:rFonts w:ascii="宋体" w:hAnsi="宋体"/>
          <w:sz w:val="21"/>
          <w:szCs w:val="21"/>
        </w:rPr>
        <w:t>促使、指导和支持员工努力提高其素质，提高质量管理体系的绩效和有效性；</w:t>
      </w:r>
    </w:p>
    <w:p w14:paraId="2E94AA7F">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促进公司各项活动开展以确保质量管理体系有效运行和程序有效执行，确保公司的目标实现，当期望结果未能实现时确保纠正措施相关责任落实到部门或个人；</w:t>
      </w:r>
    </w:p>
    <w:p w14:paraId="6CEC0B14">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通过赞赏、表彰、奖励等方式构建良好的企业氛围，支持并指导员工开展改进活动，促使各级人员积极参与质量管理体系活动，为体系有效性做出贡献；</w:t>
      </w:r>
    </w:p>
    <w:p w14:paraId="13B10887">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注重总体策划和顶层设计，自上而下积极推动持续改进；</w:t>
      </w:r>
    </w:p>
    <w:p w14:paraId="75D51108">
      <w:pPr>
        <w:spacing w:line="400" w:lineRule="exact"/>
        <w:ind w:firstLine="420" w:firstLineChars="200"/>
        <w:rPr>
          <w:rFonts w:ascii="宋体" w:hAnsi="宋体"/>
          <w:sz w:val="21"/>
          <w:szCs w:val="21"/>
        </w:rPr>
      </w:pPr>
      <w:r>
        <w:rPr>
          <w:rFonts w:hint="eastAsia" w:ascii="宋体" w:hAnsi="宋体"/>
          <w:sz w:val="21"/>
          <w:szCs w:val="21"/>
        </w:rPr>
        <w:t>j)明确各级管理者职责和权限，并支持其履行相关领域的职责，以在其职权范围内充分发挥领导作用，重视体系各项要求；</w:t>
      </w:r>
    </w:p>
    <w:p w14:paraId="0AF3BD7B">
      <w:pPr>
        <w:spacing w:line="400" w:lineRule="exact"/>
        <w:ind w:firstLine="420" w:firstLineChars="200"/>
        <w:rPr>
          <w:rFonts w:ascii="宋体" w:hAnsi="宋体"/>
          <w:sz w:val="21"/>
          <w:szCs w:val="21"/>
        </w:rPr>
      </w:pPr>
      <w:r>
        <w:rPr>
          <w:rFonts w:hint="eastAsia" w:ascii="宋体" w:hAnsi="宋体"/>
          <w:sz w:val="21"/>
          <w:szCs w:val="21"/>
        </w:rPr>
        <w:t>k)确保公司质量管理部独立行使职权；</w:t>
      </w:r>
    </w:p>
    <w:p w14:paraId="44FAF73C">
      <w:pPr>
        <w:spacing w:line="400" w:lineRule="exact"/>
        <w:ind w:firstLine="420" w:firstLineChars="200"/>
        <w:rPr>
          <w:rFonts w:ascii="宋体" w:hAnsi="宋体"/>
          <w:sz w:val="21"/>
          <w:szCs w:val="21"/>
        </w:rPr>
      </w:pPr>
      <w:r>
        <w:rPr>
          <w:rFonts w:hint="eastAsia" w:ascii="宋体" w:hAnsi="宋体"/>
          <w:sz w:val="21"/>
          <w:szCs w:val="21"/>
        </w:rPr>
        <w:t>1)对最终产品和服务质量负责；</w:t>
      </w:r>
    </w:p>
    <w:p w14:paraId="27C8FC35">
      <w:pPr>
        <w:spacing w:line="400" w:lineRule="exact"/>
        <w:ind w:firstLine="420" w:firstLineChars="200"/>
        <w:rPr>
          <w:rFonts w:ascii="宋体" w:hAnsi="宋体"/>
          <w:sz w:val="21"/>
          <w:szCs w:val="21"/>
        </w:rPr>
      </w:pPr>
      <w:r>
        <w:rPr>
          <w:rFonts w:hint="eastAsia" w:ascii="宋体" w:hAnsi="宋体"/>
          <w:sz w:val="21"/>
          <w:szCs w:val="21"/>
        </w:rPr>
        <w:t>m)确保顾客能够及时获得产品和服务质量问题的信息；</w:t>
      </w:r>
    </w:p>
    <w:p w14:paraId="1A9EBA19">
      <w:pPr>
        <w:spacing w:line="400" w:lineRule="exact"/>
        <w:ind w:firstLine="420" w:firstLineChars="200"/>
        <w:rPr>
          <w:rFonts w:ascii="宋体" w:hAnsi="宋体"/>
          <w:sz w:val="21"/>
          <w:szCs w:val="21"/>
        </w:rPr>
      </w:pPr>
      <w:r>
        <w:rPr>
          <w:rFonts w:hint="eastAsia" w:ascii="宋体" w:hAnsi="宋体"/>
          <w:sz w:val="21"/>
          <w:szCs w:val="21"/>
        </w:rPr>
        <w:t>n)通过《建立诚信管理制度》（HY-CX-18-2022），开展合同履约率、服务及时率、服务满意率等考核，确保质量诚信。</w:t>
      </w:r>
    </w:p>
    <w:p w14:paraId="0BC40B47">
      <w:pPr>
        <w:spacing w:line="400" w:lineRule="exact"/>
        <w:rPr>
          <w:rFonts w:ascii="宋体" w:hAnsi="宋体"/>
          <w:sz w:val="21"/>
          <w:szCs w:val="21"/>
        </w:rPr>
      </w:pPr>
      <w:r>
        <w:rPr>
          <w:rFonts w:ascii="宋体" w:hAnsi="宋体"/>
          <w:sz w:val="21"/>
          <w:szCs w:val="21"/>
        </w:rPr>
        <w:t>5.1.2以顾客为关注焦点</w:t>
      </w:r>
    </w:p>
    <w:p w14:paraId="7D61EC4B">
      <w:pPr>
        <w:spacing w:line="400" w:lineRule="exact"/>
        <w:ind w:firstLine="420" w:firstLineChars="200"/>
        <w:rPr>
          <w:rFonts w:ascii="宋体" w:hAnsi="宋体"/>
          <w:sz w:val="21"/>
          <w:szCs w:val="21"/>
        </w:rPr>
      </w:pPr>
    </w:p>
    <w:p w14:paraId="38D48C16">
      <w:pPr>
        <w:spacing w:line="400" w:lineRule="exact"/>
        <w:ind w:firstLine="420" w:firstLineChars="200"/>
        <w:rPr>
          <w:rFonts w:ascii="宋体" w:hAnsi="宋体"/>
          <w:sz w:val="21"/>
          <w:szCs w:val="21"/>
        </w:rPr>
      </w:pPr>
    </w:p>
    <w:p w14:paraId="28687562">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通过以下方面</w:t>
      </w:r>
      <w:r>
        <w:rPr>
          <w:rFonts w:ascii="宋体" w:hAnsi="宋体"/>
          <w:sz w:val="21"/>
          <w:szCs w:val="21"/>
        </w:rPr>
        <w:t>，证实以顾客为关注焦点的领导作用和承诺：</w:t>
      </w:r>
    </w:p>
    <w:p w14:paraId="4C9F2B53">
      <w:pPr>
        <w:spacing w:line="400" w:lineRule="exact"/>
        <w:ind w:firstLine="420" w:firstLineChars="200"/>
        <w:rPr>
          <w:rFonts w:ascii="宋体" w:hAnsi="宋体"/>
          <w:sz w:val="21"/>
          <w:szCs w:val="21"/>
        </w:rPr>
      </w:pPr>
      <w:r>
        <w:rPr>
          <w:rFonts w:ascii="宋体" w:hAnsi="宋体"/>
          <w:sz w:val="21"/>
          <w:szCs w:val="21"/>
        </w:rPr>
        <w:t>a)确定、理解并持续满足顾客要求以及适用的法律法规要求</w:t>
      </w:r>
      <w:r>
        <w:rPr>
          <w:rFonts w:hint="eastAsia" w:ascii="宋体" w:hAnsi="宋体"/>
          <w:sz w:val="21"/>
          <w:szCs w:val="21"/>
        </w:rPr>
        <w:t>；</w:t>
      </w:r>
    </w:p>
    <w:p w14:paraId="48FDCE02">
      <w:pPr>
        <w:spacing w:line="400" w:lineRule="exact"/>
        <w:ind w:firstLine="420" w:firstLineChars="200"/>
        <w:rPr>
          <w:rFonts w:ascii="宋体" w:hAnsi="宋体"/>
          <w:sz w:val="21"/>
          <w:szCs w:val="21"/>
        </w:rPr>
      </w:pPr>
      <w:r>
        <w:rPr>
          <w:rFonts w:ascii="宋体" w:hAnsi="宋体"/>
          <w:sz w:val="21"/>
          <w:szCs w:val="21"/>
        </w:rPr>
        <w:t>b)确定和应对</w:t>
      </w:r>
      <w:r>
        <w:rPr>
          <w:rFonts w:hint="eastAsia" w:ascii="宋体" w:hAnsi="宋体"/>
          <w:sz w:val="21"/>
          <w:szCs w:val="21"/>
        </w:rPr>
        <w:t>可</w:t>
      </w:r>
      <w:r>
        <w:rPr>
          <w:rFonts w:ascii="宋体" w:hAnsi="宋体"/>
          <w:sz w:val="21"/>
          <w:szCs w:val="21"/>
        </w:rPr>
        <w:t>能影响产品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合格</w:t>
      </w:r>
      <w:r>
        <w:rPr>
          <w:rFonts w:ascii="宋体" w:hAnsi="宋体"/>
          <w:sz w:val="21"/>
          <w:szCs w:val="21"/>
        </w:rPr>
        <w:t>以及增强顾客满意能力的风险和机遇</w:t>
      </w:r>
      <w:r>
        <w:rPr>
          <w:rFonts w:hint="eastAsia" w:ascii="宋体" w:hAnsi="宋体"/>
          <w:sz w:val="21"/>
          <w:szCs w:val="21"/>
        </w:rPr>
        <w:t>；</w:t>
      </w:r>
    </w:p>
    <w:p w14:paraId="1407FB60">
      <w:pPr>
        <w:spacing w:line="400" w:lineRule="exact"/>
        <w:ind w:firstLine="420" w:firstLineChars="200"/>
        <w:rPr>
          <w:rFonts w:ascii="宋体" w:hAnsi="宋体"/>
          <w:sz w:val="21"/>
          <w:szCs w:val="21"/>
        </w:rPr>
      </w:pPr>
      <w:r>
        <w:rPr>
          <w:rFonts w:ascii="宋体" w:hAnsi="宋体"/>
          <w:sz w:val="21"/>
          <w:szCs w:val="21"/>
        </w:rPr>
        <w:t>c)始终致力于增强顾客满意</w:t>
      </w:r>
      <w:r>
        <w:rPr>
          <w:rFonts w:hint="eastAsia" w:ascii="宋体" w:hAnsi="宋体"/>
          <w:sz w:val="21"/>
          <w:szCs w:val="21"/>
        </w:rPr>
        <w:t>；</w:t>
      </w:r>
    </w:p>
    <w:p w14:paraId="274C4E2B">
      <w:pPr>
        <w:spacing w:line="400" w:lineRule="exact"/>
        <w:ind w:firstLine="420" w:firstLineChars="200"/>
        <w:rPr>
          <w:rFonts w:ascii="宋体" w:hAnsi="宋体"/>
          <w:sz w:val="21"/>
          <w:szCs w:val="21"/>
        </w:rPr>
      </w:pPr>
      <w:r>
        <w:rPr>
          <w:rFonts w:hint="eastAsia" w:ascii="宋体" w:hAnsi="宋体"/>
          <w:sz w:val="21"/>
          <w:szCs w:val="21"/>
        </w:rPr>
        <w:t>d)建立并实施定期征求顾客对产品和服务质量及其改进方面意见的制度，由市场部负责牵头组织，其余有关部门配合，实施该过程的时机、频次、方式、方法等详见公司《顾客沟通及改进的管理制度》（HY-CX-25-2022）。</w:t>
      </w:r>
    </w:p>
    <w:p w14:paraId="37487F9F">
      <w:pPr>
        <w:pStyle w:val="3"/>
        <w:spacing w:before="120" w:beforeLines="50" w:after="120" w:afterLines="50" w:line="400" w:lineRule="exact"/>
        <w:rPr>
          <w:rFonts w:ascii="宋体" w:hAnsi="宋体" w:eastAsia="宋体"/>
          <w:sz w:val="24"/>
          <w:szCs w:val="24"/>
        </w:rPr>
      </w:pPr>
      <w:bookmarkStart w:id="55" w:name="_Toc509845136"/>
      <w:bookmarkStart w:id="56" w:name="_Toc521509447"/>
      <w:bookmarkStart w:id="57" w:name="_Toc509844114"/>
      <w:bookmarkStart w:id="58" w:name="_Toc509844804"/>
      <w:r>
        <w:rPr>
          <w:rFonts w:hint="eastAsia" w:ascii="宋体" w:hAnsi="宋体" w:eastAsia="宋体"/>
          <w:sz w:val="24"/>
          <w:szCs w:val="24"/>
        </w:rPr>
        <w:t>5.2方针</w:t>
      </w:r>
      <w:bookmarkEnd w:id="55"/>
      <w:bookmarkEnd w:id="56"/>
      <w:bookmarkEnd w:id="57"/>
      <w:bookmarkEnd w:id="58"/>
    </w:p>
    <w:p w14:paraId="5E841592">
      <w:pPr>
        <w:spacing w:line="400" w:lineRule="exact"/>
        <w:rPr>
          <w:rFonts w:ascii="宋体" w:hAnsi="宋体"/>
          <w:szCs w:val="28"/>
        </w:rPr>
      </w:pPr>
      <w:r>
        <w:rPr>
          <w:rFonts w:ascii="宋体" w:hAnsi="宋体"/>
          <w:sz w:val="21"/>
          <w:szCs w:val="21"/>
        </w:rPr>
        <w:t>5.2.1制定质量方针</w:t>
      </w:r>
    </w:p>
    <w:p w14:paraId="36B735B7">
      <w:pPr>
        <w:spacing w:line="360" w:lineRule="auto"/>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制定、实施和保持质量方针</w:t>
      </w:r>
      <w:r>
        <w:rPr>
          <w:rFonts w:hint="eastAsia" w:ascii="宋体" w:hAnsi="宋体"/>
          <w:sz w:val="21"/>
          <w:szCs w:val="21"/>
        </w:rPr>
        <w:t>，公司的质量方针：顾客至上，质量第一；科技领先，</w:t>
      </w:r>
      <w:r>
        <w:rPr>
          <w:rFonts w:ascii="宋体" w:hAnsi="宋体"/>
          <w:sz w:val="21"/>
          <w:szCs w:val="21"/>
        </w:rPr>
        <w:t>持续改进</w:t>
      </w:r>
      <w:r>
        <w:rPr>
          <w:rFonts w:hint="eastAsia" w:ascii="宋体" w:hAnsi="宋体"/>
          <w:sz w:val="21"/>
          <w:szCs w:val="21"/>
        </w:rPr>
        <w:t>。</w:t>
      </w:r>
    </w:p>
    <w:p w14:paraId="2D2C3515">
      <w:pPr>
        <w:spacing w:line="400" w:lineRule="exact"/>
        <w:ind w:firstLine="420" w:firstLineChars="200"/>
        <w:rPr>
          <w:rFonts w:ascii="宋体" w:hAnsi="宋体"/>
          <w:sz w:val="21"/>
          <w:szCs w:val="21"/>
        </w:rPr>
      </w:pPr>
      <w:r>
        <w:rPr>
          <w:rFonts w:ascii="宋体" w:hAnsi="宋体"/>
          <w:sz w:val="21"/>
          <w:szCs w:val="21"/>
        </w:rPr>
        <w:t>a)适应公司的宗旨</w:t>
      </w:r>
      <w:r>
        <w:rPr>
          <w:rFonts w:hint="eastAsia" w:ascii="宋体" w:hAnsi="宋体"/>
          <w:sz w:val="21"/>
          <w:szCs w:val="21"/>
        </w:rPr>
        <w:t xml:space="preserve"> “创新、高效”和</w:t>
      </w:r>
      <w:r>
        <w:rPr>
          <w:rFonts w:ascii="宋体" w:hAnsi="宋体"/>
          <w:sz w:val="21"/>
          <w:szCs w:val="21"/>
        </w:rPr>
        <w:t>环境并支持公司战略方向</w:t>
      </w:r>
      <w:r>
        <w:rPr>
          <w:rFonts w:hint="eastAsia" w:ascii="宋体" w:hAnsi="宋体"/>
          <w:sz w:val="21"/>
          <w:szCs w:val="21"/>
        </w:rPr>
        <w:t>“成为科技企业的领军者”；</w:t>
      </w:r>
    </w:p>
    <w:p w14:paraId="30485758">
      <w:pPr>
        <w:spacing w:line="400" w:lineRule="exact"/>
        <w:ind w:firstLine="420" w:firstLineChars="200"/>
        <w:rPr>
          <w:rFonts w:ascii="宋体" w:hAnsi="宋体"/>
          <w:sz w:val="21"/>
          <w:szCs w:val="21"/>
        </w:rPr>
      </w:pPr>
      <w:r>
        <w:rPr>
          <w:rFonts w:ascii="宋体" w:hAnsi="宋体"/>
          <w:sz w:val="21"/>
          <w:szCs w:val="21"/>
        </w:rPr>
        <w:t>b)为制定质量目标提供框架</w:t>
      </w:r>
      <w:r>
        <w:rPr>
          <w:rFonts w:hint="eastAsia" w:ascii="宋体" w:hAnsi="宋体"/>
          <w:sz w:val="21"/>
          <w:szCs w:val="21"/>
        </w:rPr>
        <w:t>；</w:t>
      </w:r>
    </w:p>
    <w:p w14:paraId="4E062941">
      <w:pPr>
        <w:spacing w:line="400" w:lineRule="exact"/>
        <w:ind w:firstLine="420" w:firstLineChars="200"/>
        <w:rPr>
          <w:rFonts w:ascii="宋体" w:hAnsi="宋体"/>
          <w:sz w:val="21"/>
          <w:szCs w:val="21"/>
        </w:rPr>
      </w:pPr>
      <w:r>
        <w:rPr>
          <w:rFonts w:ascii="宋体" w:hAnsi="宋体"/>
          <w:sz w:val="21"/>
          <w:szCs w:val="21"/>
        </w:rPr>
        <w:t>c)包括满足适用要求的承诺；</w:t>
      </w:r>
    </w:p>
    <w:p w14:paraId="41A5414D">
      <w:pPr>
        <w:spacing w:line="400" w:lineRule="exact"/>
        <w:ind w:firstLine="420" w:firstLineChars="200"/>
        <w:rPr>
          <w:rFonts w:ascii="宋体" w:hAnsi="宋体"/>
          <w:sz w:val="21"/>
          <w:szCs w:val="21"/>
        </w:rPr>
      </w:pPr>
      <w:r>
        <w:rPr>
          <w:rFonts w:ascii="宋体" w:hAnsi="宋体"/>
          <w:sz w:val="21"/>
          <w:szCs w:val="21"/>
        </w:rPr>
        <w:t>d)包括持续改进质量管理体系的承诺。</w:t>
      </w:r>
    </w:p>
    <w:p w14:paraId="5267DA26">
      <w:pPr>
        <w:spacing w:line="400" w:lineRule="exact"/>
        <w:rPr>
          <w:rFonts w:ascii="宋体" w:hAnsi="宋体"/>
          <w:sz w:val="21"/>
          <w:szCs w:val="21"/>
        </w:rPr>
      </w:pPr>
      <w:r>
        <w:rPr>
          <w:rFonts w:ascii="宋体" w:hAnsi="宋体"/>
          <w:sz w:val="21"/>
          <w:szCs w:val="21"/>
        </w:rPr>
        <w:t>5.2.2沟通质量方针</w:t>
      </w:r>
    </w:p>
    <w:p w14:paraId="5BA76522">
      <w:pPr>
        <w:spacing w:line="400" w:lineRule="exact"/>
        <w:ind w:firstLine="420" w:firstLineChars="200"/>
        <w:rPr>
          <w:rFonts w:ascii="宋体" w:hAnsi="宋体"/>
          <w:sz w:val="21"/>
          <w:szCs w:val="21"/>
        </w:rPr>
      </w:pPr>
      <w:r>
        <w:rPr>
          <w:rFonts w:ascii="宋体" w:hAnsi="宋体"/>
          <w:sz w:val="21"/>
          <w:szCs w:val="21"/>
        </w:rPr>
        <w:t>公司在质量手册中对方针进行公开声明</w:t>
      </w:r>
      <w:r>
        <w:rPr>
          <w:rFonts w:hint="eastAsia" w:ascii="宋体" w:hAnsi="宋体"/>
          <w:sz w:val="21"/>
          <w:szCs w:val="21"/>
        </w:rPr>
        <w:t>，</w:t>
      </w:r>
      <w:r>
        <w:rPr>
          <w:rFonts w:ascii="宋体" w:hAnsi="宋体"/>
          <w:sz w:val="21"/>
          <w:szCs w:val="21"/>
        </w:rPr>
        <w:t>在公司内部会议进行宣讲、沟通，全体员工能够准确理解其含义并在工作中贯彻落实质量方针。在与相关方沟通时，可向相关方说明公司质</w:t>
      </w:r>
      <w:r>
        <w:rPr>
          <w:rFonts w:hint="eastAsia" w:ascii="宋体" w:hAnsi="宋体"/>
          <w:sz w:val="21"/>
          <w:szCs w:val="21"/>
        </w:rPr>
        <w:t>量方针。</w:t>
      </w:r>
    </w:p>
    <w:p w14:paraId="3ED8B111">
      <w:pPr>
        <w:pStyle w:val="3"/>
        <w:spacing w:before="120" w:beforeLines="50" w:after="120" w:afterLines="50" w:line="400" w:lineRule="exact"/>
        <w:rPr>
          <w:rFonts w:ascii="宋体" w:hAnsi="宋体" w:eastAsia="宋体"/>
          <w:sz w:val="21"/>
          <w:szCs w:val="21"/>
        </w:rPr>
      </w:pPr>
      <w:bookmarkStart w:id="59" w:name="_Toc521509448"/>
      <w:r>
        <w:rPr>
          <w:rFonts w:hint="eastAsia" w:ascii="宋体" w:hAnsi="宋体" w:eastAsia="宋体"/>
          <w:sz w:val="24"/>
          <w:szCs w:val="24"/>
        </w:rPr>
        <w:t>5.3公司的岗位、职责和权限</w:t>
      </w:r>
      <w:bookmarkEnd w:id="59"/>
    </w:p>
    <w:p w14:paraId="34C0E28D">
      <w:pPr>
        <w:spacing w:line="400" w:lineRule="exact"/>
        <w:ind w:firstLine="420" w:firstLineChars="200"/>
        <w:rPr>
          <w:rFonts w:ascii="宋体" w:hAnsi="宋体"/>
          <w:sz w:val="21"/>
          <w:szCs w:val="21"/>
        </w:rPr>
      </w:pPr>
      <w:r>
        <w:rPr>
          <w:rFonts w:ascii="宋体" w:hAnsi="宋体"/>
          <w:sz w:val="21"/>
          <w:szCs w:val="21"/>
        </w:rPr>
        <w:t>公司根据职能建立组织</w:t>
      </w:r>
      <w:r>
        <w:rPr>
          <w:rFonts w:hint="eastAsia" w:ascii="宋体" w:hAnsi="宋体"/>
          <w:sz w:val="21"/>
          <w:szCs w:val="21"/>
        </w:rPr>
        <w:t>机</w:t>
      </w:r>
      <w:r>
        <w:rPr>
          <w:rFonts w:ascii="宋体" w:hAnsi="宋体"/>
          <w:sz w:val="21"/>
          <w:szCs w:val="21"/>
        </w:rPr>
        <w:t>构(</w:t>
      </w:r>
      <w:r>
        <w:rPr>
          <w:rFonts w:hint="eastAsia" w:ascii="宋体" w:hAnsi="宋体"/>
          <w:sz w:val="21"/>
          <w:szCs w:val="21"/>
        </w:rPr>
        <w:t>见</w:t>
      </w:r>
      <w:r>
        <w:rPr>
          <w:rFonts w:ascii="宋体" w:hAnsi="宋体"/>
          <w:sz w:val="21"/>
          <w:szCs w:val="21"/>
        </w:rPr>
        <w:t>附录</w:t>
      </w:r>
      <w:r>
        <w:rPr>
          <w:rFonts w:hint="eastAsia" w:ascii="宋体" w:hAnsi="宋体"/>
          <w:sz w:val="21"/>
          <w:szCs w:val="21"/>
        </w:rPr>
        <w:t>B：《</w:t>
      </w:r>
      <w:r>
        <w:rPr>
          <w:rFonts w:hint="eastAsia" w:ascii="宋体" w:hAnsi="宋体"/>
          <w:sz w:val="21"/>
          <w:szCs w:val="21"/>
          <w:lang w:eastAsia="zh-CN"/>
        </w:rPr>
        <w:t>{companyName}</w:t>
      </w:r>
      <w:r>
        <w:rPr>
          <w:rFonts w:ascii="宋体" w:hAnsi="宋体"/>
          <w:sz w:val="21"/>
          <w:szCs w:val="21"/>
        </w:rPr>
        <w:t>组织</w:t>
      </w:r>
      <w:r>
        <w:rPr>
          <w:rFonts w:hint="eastAsia" w:ascii="宋体" w:hAnsi="宋体"/>
          <w:sz w:val="21"/>
          <w:szCs w:val="21"/>
        </w:rPr>
        <w:t>机</w:t>
      </w:r>
      <w:r>
        <w:rPr>
          <w:rFonts w:ascii="宋体" w:hAnsi="宋体"/>
          <w:sz w:val="21"/>
          <w:szCs w:val="21"/>
        </w:rPr>
        <w:t>构图</w:t>
      </w:r>
      <w:r>
        <w:rPr>
          <w:rFonts w:hint="eastAsia" w:ascii="宋体" w:hAnsi="宋体"/>
          <w:sz w:val="21"/>
          <w:szCs w:val="21"/>
        </w:rPr>
        <w:t>》</w:t>
      </w:r>
      <w:r>
        <w:rPr>
          <w:rFonts w:ascii="宋体" w:hAnsi="宋体"/>
          <w:sz w:val="21"/>
          <w:szCs w:val="21"/>
        </w:rPr>
        <w:t>)</w:t>
      </w:r>
      <w:r>
        <w:rPr>
          <w:rFonts w:hint="eastAsia" w:ascii="宋体" w:hAnsi="宋体"/>
          <w:sz w:val="21"/>
          <w:szCs w:val="21"/>
        </w:rPr>
        <w:t>，</w:t>
      </w:r>
      <w:r>
        <w:rPr>
          <w:rFonts w:ascii="宋体" w:hAnsi="宋体"/>
          <w:sz w:val="21"/>
          <w:szCs w:val="21"/>
        </w:rPr>
        <w:t>总经理</w:t>
      </w:r>
      <w:r>
        <w:rPr>
          <w:rFonts w:hint="eastAsia" w:ascii="宋体" w:hAnsi="宋体"/>
          <w:sz w:val="21"/>
          <w:szCs w:val="21"/>
        </w:rPr>
        <w:t>应</w:t>
      </w:r>
      <w:r>
        <w:rPr>
          <w:rFonts w:ascii="宋体" w:hAnsi="宋体"/>
          <w:sz w:val="21"/>
          <w:szCs w:val="21"/>
        </w:rPr>
        <w:t>确保</w:t>
      </w:r>
      <w:r>
        <w:rPr>
          <w:rFonts w:hint="eastAsia" w:ascii="宋体" w:hAnsi="宋体"/>
          <w:sz w:val="21"/>
          <w:szCs w:val="21"/>
        </w:rPr>
        <w:t>公司</w:t>
      </w:r>
      <w:r>
        <w:rPr>
          <w:rFonts w:ascii="宋体" w:hAnsi="宋体"/>
          <w:sz w:val="21"/>
          <w:szCs w:val="21"/>
        </w:rPr>
        <w:t>相关岗位的职责、权限得到分</w:t>
      </w:r>
      <w:r>
        <w:rPr>
          <w:rFonts w:hint="eastAsia" w:ascii="宋体" w:hAnsi="宋体"/>
          <w:sz w:val="21"/>
          <w:szCs w:val="21"/>
        </w:rPr>
        <w:t>配</w:t>
      </w:r>
      <w:r>
        <w:rPr>
          <w:rFonts w:ascii="宋体" w:hAnsi="宋体"/>
          <w:sz w:val="21"/>
          <w:szCs w:val="21"/>
        </w:rPr>
        <w:t>、沟通和理解(</w:t>
      </w:r>
      <w:r>
        <w:rPr>
          <w:rFonts w:hint="eastAsia" w:ascii="宋体" w:hAnsi="宋体"/>
          <w:sz w:val="21"/>
          <w:szCs w:val="21"/>
        </w:rPr>
        <w:t>见</w:t>
      </w:r>
      <w:r>
        <w:rPr>
          <w:rFonts w:ascii="宋体" w:hAnsi="宋体"/>
          <w:sz w:val="21"/>
          <w:szCs w:val="21"/>
        </w:rPr>
        <w:t>附录</w:t>
      </w:r>
      <w:r>
        <w:rPr>
          <w:rFonts w:hint="eastAsia" w:ascii="宋体" w:hAnsi="宋体"/>
          <w:sz w:val="21"/>
          <w:szCs w:val="21"/>
        </w:rPr>
        <w:t>C：《</w:t>
      </w:r>
      <w:r>
        <w:rPr>
          <w:rFonts w:hint="eastAsia" w:ascii="宋体" w:hAnsi="宋体"/>
          <w:sz w:val="21"/>
          <w:szCs w:val="21"/>
          <w:lang w:eastAsia="zh-CN"/>
        </w:rPr>
        <w:t>{companyName}</w:t>
      </w:r>
      <w:r>
        <w:rPr>
          <w:rFonts w:ascii="宋体" w:hAnsi="宋体"/>
          <w:sz w:val="21"/>
          <w:szCs w:val="21"/>
        </w:rPr>
        <w:t>质量</w:t>
      </w:r>
      <w:r>
        <w:rPr>
          <w:rFonts w:hint="eastAsia" w:ascii="宋体" w:hAnsi="宋体"/>
          <w:sz w:val="21"/>
          <w:szCs w:val="21"/>
        </w:rPr>
        <w:t>管理体系职能</w:t>
      </w:r>
      <w:r>
        <w:rPr>
          <w:rFonts w:ascii="宋体" w:hAnsi="宋体"/>
          <w:sz w:val="21"/>
          <w:szCs w:val="21"/>
        </w:rPr>
        <w:t>分配表</w:t>
      </w:r>
      <w:r>
        <w:rPr>
          <w:rFonts w:hint="eastAsia" w:ascii="宋体" w:hAnsi="宋体"/>
          <w:sz w:val="21"/>
          <w:szCs w:val="21"/>
        </w:rPr>
        <w:t>》</w:t>
      </w:r>
      <w:r>
        <w:rPr>
          <w:rFonts w:ascii="宋体" w:hAnsi="宋体"/>
          <w:sz w:val="21"/>
          <w:szCs w:val="21"/>
        </w:rPr>
        <w:t>)。</w:t>
      </w:r>
    </w:p>
    <w:p w14:paraId="2359072E">
      <w:pPr>
        <w:spacing w:line="400" w:lineRule="exact"/>
        <w:ind w:firstLine="420" w:firstLineChars="200"/>
        <w:rPr>
          <w:rFonts w:ascii="宋体" w:hAnsi="宋体"/>
          <w:sz w:val="21"/>
          <w:szCs w:val="21"/>
        </w:rPr>
      </w:pPr>
      <w:r>
        <w:rPr>
          <w:rFonts w:ascii="宋体" w:hAnsi="宋体"/>
          <w:sz w:val="21"/>
          <w:szCs w:val="21"/>
        </w:rPr>
        <w:t>总经理</w:t>
      </w:r>
      <w:r>
        <w:rPr>
          <w:rFonts w:hint="eastAsia" w:ascii="宋体" w:hAnsi="宋体"/>
          <w:sz w:val="21"/>
          <w:szCs w:val="21"/>
        </w:rPr>
        <w:t>应</w:t>
      </w:r>
      <w:r>
        <w:rPr>
          <w:rFonts w:ascii="宋体" w:hAnsi="宋体"/>
          <w:sz w:val="21"/>
          <w:szCs w:val="21"/>
        </w:rPr>
        <w:t>分</w:t>
      </w:r>
      <w:r>
        <w:rPr>
          <w:rFonts w:hint="eastAsia" w:ascii="宋体" w:hAnsi="宋体"/>
          <w:sz w:val="21"/>
          <w:szCs w:val="21"/>
        </w:rPr>
        <w:t>配</w:t>
      </w:r>
      <w:r>
        <w:rPr>
          <w:rFonts w:ascii="宋体" w:hAnsi="宋体"/>
          <w:sz w:val="21"/>
          <w:szCs w:val="21"/>
        </w:rPr>
        <w:t>职责和权限</w:t>
      </w:r>
      <w:r>
        <w:rPr>
          <w:rFonts w:hint="eastAsia" w:ascii="宋体" w:hAnsi="宋体"/>
          <w:sz w:val="21"/>
          <w:szCs w:val="21"/>
        </w:rPr>
        <w:t>,以：</w:t>
      </w:r>
    </w:p>
    <w:p w14:paraId="6FC46A38">
      <w:pPr>
        <w:spacing w:line="400" w:lineRule="exact"/>
        <w:ind w:firstLine="420" w:firstLineChars="200"/>
        <w:rPr>
          <w:rFonts w:ascii="宋体" w:hAnsi="宋体"/>
          <w:sz w:val="21"/>
          <w:szCs w:val="21"/>
        </w:rPr>
      </w:pPr>
      <w:r>
        <w:rPr>
          <w:rFonts w:ascii="宋体" w:hAnsi="宋体"/>
          <w:sz w:val="21"/>
          <w:szCs w:val="21"/>
        </w:rPr>
        <w:t>a)确保质量管理体系符合</w:t>
      </w:r>
      <w:r>
        <w:rPr>
          <w:rFonts w:hint="eastAsia" w:ascii="宋体" w:hAnsi="宋体"/>
          <w:sz w:val="21"/>
          <w:szCs w:val="21"/>
        </w:rPr>
        <w:t>GB/T19001</w:t>
      </w:r>
      <w:r>
        <w:rPr>
          <w:rFonts w:ascii="宋体" w:hAnsi="宋体"/>
          <w:sz w:val="21"/>
          <w:szCs w:val="21"/>
        </w:rPr>
        <w:t>标准的要求；</w:t>
      </w:r>
    </w:p>
    <w:p w14:paraId="7F430114">
      <w:pPr>
        <w:spacing w:line="400" w:lineRule="exact"/>
        <w:ind w:firstLine="420" w:firstLineChars="200"/>
        <w:rPr>
          <w:rFonts w:ascii="宋体" w:hAnsi="宋体"/>
          <w:sz w:val="21"/>
          <w:szCs w:val="21"/>
        </w:rPr>
      </w:pPr>
      <w:r>
        <w:rPr>
          <w:rFonts w:ascii="宋体" w:hAnsi="宋体"/>
          <w:sz w:val="21"/>
          <w:szCs w:val="21"/>
        </w:rPr>
        <w:t>b)确保各过程获得其预期输出</w:t>
      </w:r>
      <w:r>
        <w:rPr>
          <w:rFonts w:hint="eastAsia" w:ascii="宋体" w:hAnsi="宋体"/>
          <w:sz w:val="21"/>
          <w:szCs w:val="21"/>
        </w:rPr>
        <w:t>；</w:t>
      </w:r>
    </w:p>
    <w:p w14:paraId="615DEEF8">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质量管理部</w:t>
      </w:r>
      <w:r>
        <w:rPr>
          <w:rFonts w:ascii="宋体" w:hAnsi="宋体"/>
          <w:sz w:val="21"/>
          <w:szCs w:val="21"/>
        </w:rPr>
        <w:t>报告质量管理体系的绩效及其改进机会</w:t>
      </w:r>
      <w:r>
        <w:rPr>
          <w:rFonts w:hint="eastAsia" w:ascii="宋体" w:hAnsi="宋体"/>
          <w:sz w:val="21"/>
          <w:szCs w:val="21"/>
        </w:rPr>
        <w:t>（见10.1</w:t>
      </w:r>
      <w:r>
        <w:rPr>
          <w:rFonts w:ascii="宋体" w:hAnsi="宋体"/>
          <w:sz w:val="21"/>
          <w:szCs w:val="21"/>
        </w:rPr>
        <w:t>），</w:t>
      </w:r>
      <w:r>
        <w:rPr>
          <w:rFonts w:hint="eastAsia" w:ascii="宋体" w:hAnsi="宋体"/>
          <w:sz w:val="21"/>
          <w:szCs w:val="21"/>
        </w:rPr>
        <w:t>并</w:t>
      </w:r>
      <w:r>
        <w:rPr>
          <w:rFonts w:ascii="宋体" w:hAnsi="宋体"/>
          <w:sz w:val="21"/>
          <w:szCs w:val="21"/>
        </w:rPr>
        <w:t>向总经理报告；</w:t>
      </w:r>
    </w:p>
    <w:p w14:paraId="1E705714">
      <w:pPr>
        <w:spacing w:line="400" w:lineRule="exact"/>
        <w:ind w:firstLine="420" w:firstLineChars="200"/>
        <w:rPr>
          <w:rFonts w:ascii="宋体" w:hAnsi="宋体"/>
          <w:sz w:val="21"/>
          <w:szCs w:val="21"/>
        </w:rPr>
      </w:pPr>
      <w:r>
        <w:rPr>
          <w:rFonts w:ascii="宋体" w:hAnsi="宋体"/>
          <w:sz w:val="21"/>
          <w:szCs w:val="21"/>
        </w:rPr>
        <w:t>d)确保在整个组织推动以顾客为关注焦点；</w:t>
      </w:r>
    </w:p>
    <w:p w14:paraId="1A77FDB0">
      <w:pPr>
        <w:spacing w:line="400" w:lineRule="exact"/>
        <w:ind w:firstLine="420" w:firstLineChars="200"/>
        <w:rPr>
          <w:rFonts w:ascii="宋体" w:hAnsi="宋体"/>
          <w:sz w:val="21"/>
          <w:szCs w:val="21"/>
        </w:rPr>
      </w:pPr>
      <w:r>
        <w:rPr>
          <w:rFonts w:ascii="宋体" w:hAnsi="宋体"/>
          <w:sz w:val="21"/>
          <w:szCs w:val="21"/>
        </w:rPr>
        <w:t>e)确保在策划和实施质量管理体系变更时保持其完整性和正常有效运行</w:t>
      </w:r>
      <w:r>
        <w:rPr>
          <w:rFonts w:hint="eastAsia" w:ascii="宋体" w:hAnsi="宋体"/>
          <w:sz w:val="21"/>
          <w:szCs w:val="21"/>
        </w:rPr>
        <w:t>；</w:t>
      </w:r>
    </w:p>
    <w:p w14:paraId="7734656E">
      <w:pPr>
        <w:spacing w:line="400" w:lineRule="exact"/>
        <w:ind w:firstLine="420" w:firstLineChars="200"/>
        <w:rPr>
          <w:rFonts w:ascii="楷体" w:hAnsi="楷体" w:eastAsia="楷体"/>
          <w:b/>
          <w:color w:val="FF0000"/>
          <w:sz w:val="21"/>
          <w:szCs w:val="21"/>
        </w:rPr>
      </w:pPr>
      <w:r>
        <w:rPr>
          <w:rFonts w:hint="eastAsia" w:ascii="楷体" w:hAnsi="楷体" w:eastAsia="楷体"/>
          <w:sz w:val="21"/>
          <w:szCs w:val="21"/>
        </w:rPr>
        <w:t>f)</w:t>
      </w:r>
      <w:r>
        <w:rPr>
          <w:rFonts w:hint="eastAsia" w:ascii="楷体" w:hAnsi="楷体" w:eastAsia="楷体"/>
          <w:b/>
          <w:sz w:val="21"/>
          <w:szCs w:val="21"/>
        </w:rPr>
        <w:t xml:space="preserve"> </w:t>
      </w:r>
      <w:r>
        <w:rPr>
          <w:rFonts w:hint="eastAsia" w:ascii="宋体" w:hAnsi="宋体"/>
          <w:sz w:val="21"/>
          <w:szCs w:val="21"/>
        </w:rPr>
        <w:t>公司确定各级、各部门、各岗位质量职责，建立并实施质量责任追究与激励制度（HY-CX-19-2022）</w:t>
      </w:r>
      <w:r>
        <w:rPr>
          <w:rFonts w:hint="eastAsia" w:ascii="楷体" w:hAnsi="楷体" w:eastAsia="楷体"/>
          <w:b/>
          <w:sz w:val="21"/>
          <w:szCs w:val="21"/>
        </w:rPr>
        <w:t>；</w:t>
      </w:r>
    </w:p>
    <w:p w14:paraId="19837A63">
      <w:pPr>
        <w:spacing w:line="400" w:lineRule="exact"/>
        <w:ind w:firstLine="420" w:firstLineChars="200"/>
        <w:rPr>
          <w:rFonts w:ascii="宋体" w:hAnsi="宋体"/>
          <w:sz w:val="21"/>
          <w:szCs w:val="21"/>
          <w:u w:val="single"/>
        </w:rPr>
      </w:pPr>
      <w:r>
        <w:rPr>
          <w:rFonts w:hint="eastAsia" w:ascii="宋体" w:hAnsi="宋体"/>
          <w:sz w:val="21"/>
          <w:szCs w:val="21"/>
        </w:rPr>
        <w:t>g)</w:t>
      </w:r>
      <w:r>
        <w:rPr>
          <w:rFonts w:hint="eastAsia" w:ascii="楷体" w:hAnsi="楷体" w:eastAsia="楷体" w:cs="宋体"/>
          <w:b/>
          <w:sz w:val="21"/>
          <w:szCs w:val="21"/>
        </w:rPr>
        <w:t>公司</w:t>
      </w:r>
      <w:r>
        <w:rPr>
          <w:rFonts w:hint="eastAsia" w:ascii="楷体" w:hAnsi="楷体" w:eastAsia="楷体"/>
          <w:b/>
          <w:sz w:val="21"/>
          <w:szCs w:val="21"/>
        </w:rPr>
        <w:t>任命副总经理为质量体系管理者代表，</w:t>
      </w:r>
      <w:r>
        <w:rPr>
          <w:rFonts w:hint="eastAsia" w:ascii="楷体" w:hAnsi="楷体" w:eastAsia="楷体" w:cs="宋体"/>
          <w:b/>
          <w:sz w:val="21"/>
          <w:szCs w:val="21"/>
        </w:rPr>
        <w:t>分管质量管理体系工作，确保质量管理体系所需的过程按策划的要求得到建立、实施和保持，定期或不定期向最高管理者报告质量管理体系的绩效和改进需求。</w:t>
      </w:r>
    </w:p>
    <w:p w14:paraId="4BB154B4">
      <w:pPr>
        <w:widowControl/>
        <w:jc w:val="left"/>
        <w:sectPr>
          <w:pgSz w:w="11906" w:h="16838"/>
          <w:pgMar w:top="1418" w:right="1418" w:bottom="1418" w:left="1701" w:header="851" w:footer="992" w:gutter="0"/>
          <w:cols w:space="720" w:num="1"/>
          <w:docGrid w:linePitch="312" w:charSpace="0"/>
        </w:sectPr>
      </w:pPr>
    </w:p>
    <w:p w14:paraId="6A3E1680">
      <w:pPr>
        <w:pStyle w:val="2"/>
        <w:spacing w:line="400" w:lineRule="exact"/>
        <w:rPr>
          <w:rFonts w:ascii="宋体" w:hAnsi="宋体"/>
          <w:sz w:val="28"/>
          <w:szCs w:val="28"/>
        </w:rPr>
      </w:pPr>
      <w:bookmarkStart w:id="60" w:name="_Toc509844115"/>
      <w:bookmarkStart w:id="61" w:name="_Toc509844805"/>
      <w:bookmarkStart w:id="62" w:name="_Toc509845137"/>
      <w:bookmarkStart w:id="63" w:name="_Toc521509449"/>
      <w:r>
        <w:rPr>
          <w:rFonts w:hint="eastAsia" w:ascii="宋体" w:hAnsi="宋体"/>
          <w:sz w:val="28"/>
          <w:szCs w:val="28"/>
        </w:rPr>
        <w:t>6策划</w:t>
      </w:r>
      <w:bookmarkEnd w:id="60"/>
      <w:bookmarkEnd w:id="61"/>
      <w:bookmarkEnd w:id="62"/>
      <w:bookmarkEnd w:id="63"/>
    </w:p>
    <w:p w14:paraId="31DB27B4">
      <w:pPr>
        <w:pStyle w:val="3"/>
        <w:spacing w:before="120" w:beforeLines="50" w:after="120" w:afterLines="50" w:line="400" w:lineRule="exact"/>
        <w:rPr>
          <w:rFonts w:ascii="宋体" w:hAnsi="宋体" w:eastAsia="宋体"/>
          <w:sz w:val="24"/>
          <w:szCs w:val="24"/>
        </w:rPr>
      </w:pPr>
      <w:bookmarkStart w:id="64" w:name="_Toc509844116"/>
      <w:bookmarkStart w:id="65" w:name="_Toc509844806"/>
      <w:bookmarkStart w:id="66" w:name="_Toc521509450"/>
      <w:bookmarkStart w:id="67" w:name="_Toc509845138"/>
      <w:r>
        <w:rPr>
          <w:rFonts w:hint="eastAsia" w:ascii="宋体" w:hAnsi="宋体" w:eastAsia="宋体"/>
          <w:sz w:val="24"/>
          <w:szCs w:val="24"/>
        </w:rPr>
        <w:t>6.1 应对风险和机遇的措施</w:t>
      </w:r>
      <w:bookmarkEnd w:id="64"/>
      <w:bookmarkEnd w:id="65"/>
      <w:bookmarkEnd w:id="66"/>
      <w:bookmarkEnd w:id="67"/>
      <w:r>
        <w:rPr>
          <w:rFonts w:hint="eastAsia" w:ascii="宋体" w:hAnsi="宋体" w:eastAsia="宋体"/>
          <w:sz w:val="24"/>
          <w:szCs w:val="24"/>
        </w:rPr>
        <w:t xml:space="preserve"> </w:t>
      </w:r>
    </w:p>
    <w:p w14:paraId="1676CADE">
      <w:pPr>
        <w:widowControl/>
        <w:spacing w:line="400" w:lineRule="exact"/>
        <w:rPr>
          <w:rFonts w:ascii="宋体" w:hAnsi="宋体"/>
          <w:sz w:val="21"/>
          <w:szCs w:val="21"/>
        </w:rPr>
      </w:pPr>
      <w:r>
        <w:rPr>
          <w:rFonts w:hint="eastAsia" w:ascii="宋体" w:hAnsi="宋体"/>
          <w:sz w:val="21"/>
          <w:szCs w:val="21"/>
        </w:rPr>
        <w:t xml:space="preserve">6.1.1 总则  </w:t>
      </w:r>
    </w:p>
    <w:p w14:paraId="09AC89B0">
      <w:pPr>
        <w:widowControl/>
        <w:spacing w:line="400" w:lineRule="exact"/>
        <w:rPr>
          <w:rFonts w:ascii="宋体" w:hAnsi="宋体"/>
          <w:sz w:val="21"/>
          <w:szCs w:val="21"/>
        </w:rPr>
      </w:pPr>
      <w:r>
        <w:rPr>
          <w:rFonts w:hint="eastAsia" w:ascii="宋体" w:hAnsi="宋体"/>
          <w:sz w:val="21"/>
          <w:szCs w:val="21"/>
        </w:rPr>
        <w:t xml:space="preserve">    公司管理层及相关部门随时关注4.1 所述的因素和4.2 中提及的要求，管理者代表组织各部门确定并制定应对措施对其进行控制，以确保增强有利的影响、预防或减少不利影响，使策划的结果得以实现。应对机遇与风险的措施应整合到质量管理体系相关过程并得到有效实施，并评价应对措施的有效性。 </w:t>
      </w:r>
    </w:p>
    <w:p w14:paraId="799211CB">
      <w:pPr>
        <w:widowControl/>
        <w:spacing w:line="400" w:lineRule="exact"/>
        <w:rPr>
          <w:rFonts w:ascii="宋体" w:hAnsi="宋体"/>
          <w:sz w:val="21"/>
          <w:szCs w:val="21"/>
        </w:rPr>
      </w:pPr>
      <w:r>
        <w:rPr>
          <w:rFonts w:hint="eastAsia" w:ascii="宋体" w:hAnsi="宋体"/>
          <w:sz w:val="21"/>
          <w:szCs w:val="21"/>
        </w:rPr>
        <w:t xml:space="preserve">6.1.2 措施的策划  </w:t>
      </w:r>
    </w:p>
    <w:p w14:paraId="7E896F4D">
      <w:pPr>
        <w:widowControl/>
        <w:spacing w:line="400" w:lineRule="exact"/>
        <w:rPr>
          <w:rFonts w:ascii="宋体" w:hAnsi="宋体"/>
          <w:sz w:val="21"/>
          <w:szCs w:val="21"/>
        </w:rPr>
      </w:pPr>
      <w:r>
        <w:rPr>
          <w:rFonts w:hint="eastAsia" w:ascii="宋体" w:hAnsi="宋体"/>
          <w:sz w:val="21"/>
          <w:szCs w:val="21"/>
        </w:rPr>
        <w:t xml:space="preserve">6.1.2.1 风险和机遇的识别 </w:t>
      </w:r>
    </w:p>
    <w:p w14:paraId="7745A18A">
      <w:pPr>
        <w:widowControl/>
        <w:spacing w:line="400" w:lineRule="exact"/>
        <w:rPr>
          <w:rFonts w:ascii="宋体" w:hAnsi="宋体"/>
          <w:sz w:val="21"/>
          <w:szCs w:val="21"/>
        </w:rPr>
      </w:pPr>
      <w:r>
        <w:rPr>
          <w:rFonts w:hint="eastAsia" w:ascii="宋体" w:hAnsi="宋体"/>
          <w:sz w:val="21"/>
          <w:szCs w:val="21"/>
        </w:rPr>
        <w:t xml:space="preserve">   通过以下部门和人员的工作和过程，关注4.1 和4.2 的变化，识别风险和机遇： </w:t>
      </w:r>
    </w:p>
    <w:p w14:paraId="2E13FECD">
      <w:pPr>
        <w:widowControl/>
        <w:spacing w:line="400" w:lineRule="exact"/>
        <w:rPr>
          <w:rFonts w:ascii="宋体" w:hAnsi="宋体"/>
          <w:sz w:val="21"/>
          <w:szCs w:val="21"/>
        </w:rPr>
      </w:pPr>
      <w:r>
        <w:rPr>
          <w:rFonts w:hint="eastAsia" w:ascii="宋体" w:hAnsi="宋体"/>
          <w:sz w:val="21"/>
          <w:szCs w:val="21"/>
        </w:rPr>
        <w:t xml:space="preserve">   a）公司管理层关注企业运营方面的风险和机遇，包括：  </w:t>
      </w:r>
    </w:p>
    <w:p w14:paraId="4C35BCA0">
      <w:pPr>
        <w:widowControl/>
        <w:spacing w:line="400" w:lineRule="exact"/>
        <w:rPr>
          <w:rFonts w:ascii="宋体" w:hAnsi="宋体"/>
          <w:sz w:val="21"/>
          <w:szCs w:val="21"/>
        </w:rPr>
      </w:pPr>
      <w:r>
        <w:rPr>
          <w:rFonts w:hint="eastAsia" w:ascii="宋体" w:hAnsi="宋体"/>
          <w:sz w:val="21"/>
          <w:szCs w:val="21"/>
        </w:rPr>
        <w:t xml:space="preserve">   ——市场环境和发展趋势；  </w:t>
      </w:r>
    </w:p>
    <w:p w14:paraId="478B6F15">
      <w:pPr>
        <w:widowControl/>
        <w:spacing w:line="400" w:lineRule="exact"/>
        <w:rPr>
          <w:rFonts w:ascii="宋体" w:hAnsi="宋体"/>
          <w:sz w:val="21"/>
          <w:szCs w:val="21"/>
        </w:rPr>
      </w:pPr>
      <w:r>
        <w:rPr>
          <w:rFonts w:hint="eastAsia" w:ascii="宋体" w:hAnsi="宋体"/>
          <w:sz w:val="21"/>
          <w:szCs w:val="21"/>
        </w:rPr>
        <w:t xml:space="preserve">   ——财务风险；</w:t>
      </w:r>
    </w:p>
    <w:p w14:paraId="29F675A4">
      <w:pPr>
        <w:widowControl/>
        <w:spacing w:line="400" w:lineRule="exact"/>
        <w:rPr>
          <w:rFonts w:ascii="宋体" w:hAnsi="宋体"/>
          <w:sz w:val="21"/>
          <w:szCs w:val="21"/>
        </w:rPr>
      </w:pPr>
      <w:r>
        <w:rPr>
          <w:rFonts w:hint="eastAsia" w:ascii="宋体" w:hAnsi="宋体"/>
          <w:sz w:val="21"/>
          <w:szCs w:val="21"/>
        </w:rPr>
        <w:t xml:space="preserve">   ——产品研发的方向；  </w:t>
      </w:r>
      <w:r>
        <w:rPr>
          <w:rFonts w:hint="eastAsia" w:ascii="宋体" w:hAnsi="宋体"/>
          <w:sz w:val="21"/>
          <w:szCs w:val="21"/>
        </w:rPr>
        <w:cr/>
      </w:r>
      <w:r>
        <w:rPr>
          <w:rFonts w:hint="eastAsia" w:ascii="宋体" w:hAnsi="宋体"/>
          <w:sz w:val="21"/>
          <w:szCs w:val="21"/>
        </w:rPr>
        <w:t xml:space="preserve">   ——产品质量水平与质量保证能力；  </w:t>
      </w:r>
      <w:r>
        <w:rPr>
          <w:rFonts w:hint="eastAsia" w:ascii="宋体" w:hAnsi="宋体"/>
          <w:sz w:val="21"/>
          <w:szCs w:val="21"/>
        </w:rPr>
        <w:cr/>
      </w:r>
      <w:r>
        <w:rPr>
          <w:rFonts w:hint="eastAsia" w:ascii="宋体" w:hAnsi="宋体"/>
          <w:sz w:val="21"/>
          <w:szCs w:val="21"/>
        </w:rPr>
        <w:t xml:space="preserve">   ——法律法规风险 （安全、环保、产业政策、职业健康等）；  </w:t>
      </w:r>
      <w:r>
        <w:rPr>
          <w:rFonts w:hint="eastAsia" w:ascii="宋体" w:hAnsi="宋体"/>
          <w:sz w:val="21"/>
          <w:szCs w:val="21"/>
        </w:rPr>
        <w:cr/>
      </w:r>
      <w:r>
        <w:rPr>
          <w:rFonts w:hint="eastAsia" w:ascii="宋体" w:hAnsi="宋体"/>
          <w:sz w:val="21"/>
          <w:szCs w:val="21"/>
        </w:rPr>
        <w:t xml:space="preserve">   ——公司信誉及其危机的处理；  </w:t>
      </w:r>
      <w:r>
        <w:rPr>
          <w:rFonts w:hint="eastAsia" w:ascii="宋体" w:hAnsi="宋体"/>
          <w:sz w:val="21"/>
          <w:szCs w:val="21"/>
        </w:rPr>
        <w:cr/>
      </w:r>
      <w:r>
        <w:rPr>
          <w:rFonts w:hint="eastAsia" w:ascii="宋体" w:hAnsi="宋体"/>
          <w:sz w:val="21"/>
          <w:szCs w:val="21"/>
        </w:rPr>
        <w:t xml:space="preserve">   ——公司技术能力、生产设备能力、生产能力、人员能力、知识等资源制约；  </w:t>
      </w:r>
      <w:r>
        <w:rPr>
          <w:rFonts w:hint="eastAsia" w:ascii="宋体" w:hAnsi="宋体"/>
          <w:sz w:val="21"/>
          <w:szCs w:val="21"/>
        </w:rPr>
        <w:cr/>
      </w:r>
      <w:r>
        <w:rPr>
          <w:rFonts w:hint="eastAsia" w:ascii="宋体" w:hAnsi="宋体"/>
          <w:sz w:val="21"/>
          <w:szCs w:val="21"/>
        </w:rPr>
        <w:t xml:space="preserve">   ——公司产品和服务的质量问题引起的后果。  </w:t>
      </w:r>
    </w:p>
    <w:p w14:paraId="19F87C45">
      <w:pPr>
        <w:widowControl/>
        <w:spacing w:line="400" w:lineRule="exact"/>
        <w:rPr>
          <w:rFonts w:ascii="宋体" w:hAnsi="宋体"/>
          <w:sz w:val="21"/>
          <w:szCs w:val="21"/>
        </w:rPr>
      </w:pPr>
      <w:r>
        <w:rPr>
          <w:rFonts w:hint="eastAsia" w:ascii="宋体" w:hAnsi="宋体"/>
          <w:sz w:val="21"/>
          <w:szCs w:val="21"/>
        </w:rPr>
        <w:t xml:space="preserve">   b）综合行政部关注与环境、人员和法律法规方面有关的风险，包括： </w:t>
      </w:r>
    </w:p>
    <w:p w14:paraId="4B7B19D7">
      <w:pPr>
        <w:widowControl/>
        <w:spacing w:line="400" w:lineRule="exact"/>
        <w:rPr>
          <w:rFonts w:ascii="宋体" w:hAnsi="宋体"/>
          <w:sz w:val="21"/>
          <w:szCs w:val="21"/>
        </w:rPr>
      </w:pPr>
      <w:r>
        <w:rPr>
          <w:rFonts w:hint="eastAsia" w:ascii="宋体" w:hAnsi="宋体"/>
          <w:sz w:val="21"/>
          <w:szCs w:val="21"/>
        </w:rPr>
        <w:t xml:space="preserve">   ——法律法规的变化及地方政府的要求；  </w:t>
      </w:r>
      <w:r>
        <w:rPr>
          <w:rFonts w:hint="eastAsia" w:ascii="宋体" w:hAnsi="宋体"/>
          <w:sz w:val="21"/>
          <w:szCs w:val="21"/>
        </w:rPr>
        <w:cr/>
      </w:r>
      <w:r>
        <w:rPr>
          <w:rFonts w:hint="eastAsia" w:ascii="宋体" w:hAnsi="宋体"/>
          <w:sz w:val="21"/>
          <w:szCs w:val="21"/>
        </w:rPr>
        <w:t xml:space="preserve">   ——外部环境（包括空气、水质等）的变化；  </w:t>
      </w:r>
      <w:r>
        <w:rPr>
          <w:rFonts w:hint="eastAsia" w:ascii="宋体" w:hAnsi="宋体"/>
          <w:sz w:val="21"/>
          <w:szCs w:val="21"/>
        </w:rPr>
        <w:cr/>
      </w:r>
      <w:r>
        <w:rPr>
          <w:rFonts w:hint="eastAsia" w:ascii="宋体" w:hAnsi="宋体"/>
          <w:sz w:val="21"/>
          <w:szCs w:val="21"/>
        </w:rPr>
        <w:t xml:space="preserve">   ——公司内重大环境因素 （公司的机制、奖惩、薪资等）；  </w:t>
      </w:r>
      <w:r>
        <w:rPr>
          <w:rFonts w:hint="eastAsia" w:ascii="宋体" w:hAnsi="宋体"/>
          <w:sz w:val="21"/>
          <w:szCs w:val="21"/>
        </w:rPr>
        <w:cr/>
      </w:r>
      <w:r>
        <w:rPr>
          <w:rFonts w:hint="eastAsia" w:ascii="宋体" w:hAnsi="宋体"/>
          <w:sz w:val="21"/>
          <w:szCs w:val="21"/>
        </w:rPr>
        <w:t xml:space="preserve">   ——与企业有关的法律法规、产业政策要求的变化；  </w:t>
      </w:r>
      <w:r>
        <w:rPr>
          <w:rFonts w:hint="eastAsia" w:ascii="宋体" w:hAnsi="宋体"/>
          <w:sz w:val="21"/>
          <w:szCs w:val="21"/>
        </w:rPr>
        <w:cr/>
      </w:r>
      <w:r>
        <w:rPr>
          <w:rFonts w:hint="eastAsia" w:ascii="宋体" w:hAnsi="宋体"/>
          <w:sz w:val="21"/>
          <w:szCs w:val="21"/>
        </w:rPr>
        <w:t xml:space="preserve">   ——人员的意识和能力对管理体系的影响；  </w:t>
      </w:r>
      <w:r>
        <w:rPr>
          <w:rFonts w:hint="eastAsia" w:ascii="宋体" w:hAnsi="宋体"/>
          <w:sz w:val="21"/>
          <w:szCs w:val="21"/>
        </w:rPr>
        <w:cr/>
      </w:r>
      <w:r>
        <w:rPr>
          <w:rFonts w:hint="eastAsia" w:ascii="宋体" w:hAnsi="宋体"/>
          <w:sz w:val="21"/>
          <w:szCs w:val="21"/>
        </w:rPr>
        <w:t xml:space="preserve">   ——人员的上岗资格能力和其岗位要求的匹配程度；  </w:t>
      </w:r>
    </w:p>
    <w:p w14:paraId="49758DDA">
      <w:pPr>
        <w:widowControl/>
        <w:spacing w:line="400" w:lineRule="exact"/>
        <w:rPr>
          <w:rFonts w:ascii="宋体" w:hAnsi="宋体"/>
          <w:sz w:val="21"/>
          <w:szCs w:val="21"/>
        </w:rPr>
      </w:pPr>
      <w:r>
        <w:rPr>
          <w:rFonts w:hint="eastAsia" w:ascii="宋体" w:hAnsi="宋体"/>
          <w:sz w:val="21"/>
          <w:szCs w:val="21"/>
        </w:rPr>
        <w:t xml:space="preserve">   ——信息沟通及时性；  </w:t>
      </w:r>
      <w:r>
        <w:rPr>
          <w:rFonts w:hint="eastAsia" w:ascii="宋体" w:hAnsi="宋体"/>
          <w:sz w:val="21"/>
          <w:szCs w:val="21"/>
        </w:rPr>
        <w:cr/>
      </w:r>
      <w:r>
        <w:rPr>
          <w:rFonts w:hint="eastAsia" w:ascii="宋体" w:hAnsi="宋体"/>
          <w:sz w:val="21"/>
          <w:szCs w:val="21"/>
        </w:rPr>
        <w:t xml:space="preserve">   ——落实公司管理层的相关要求；</w:t>
      </w:r>
    </w:p>
    <w:p w14:paraId="27F75332">
      <w:pPr>
        <w:widowControl/>
        <w:spacing w:line="400" w:lineRule="exact"/>
        <w:jc w:val="left"/>
        <w:rPr>
          <w:rFonts w:ascii="宋体" w:hAnsi="宋体"/>
          <w:sz w:val="21"/>
          <w:szCs w:val="21"/>
        </w:rPr>
      </w:pPr>
      <w:r>
        <w:rPr>
          <w:rFonts w:hint="eastAsia" w:ascii="宋体" w:hAnsi="宋体"/>
          <w:sz w:val="21"/>
          <w:szCs w:val="21"/>
        </w:rPr>
        <w:t xml:space="preserve">   ——对供方的选择、供方资质的控制管理的影响；  </w:t>
      </w:r>
      <w:r>
        <w:rPr>
          <w:rFonts w:hint="eastAsia" w:ascii="宋体" w:hAnsi="宋体"/>
          <w:sz w:val="21"/>
          <w:szCs w:val="21"/>
        </w:rPr>
        <w:cr/>
      </w:r>
      <w:r>
        <w:rPr>
          <w:rFonts w:hint="eastAsia" w:ascii="宋体" w:hAnsi="宋体"/>
          <w:sz w:val="21"/>
          <w:szCs w:val="21"/>
        </w:rPr>
        <w:t xml:space="preserve">   ——采购合同的完整性；  </w:t>
      </w:r>
      <w:r>
        <w:rPr>
          <w:rFonts w:hint="eastAsia" w:ascii="宋体" w:hAnsi="宋体"/>
          <w:sz w:val="21"/>
          <w:szCs w:val="21"/>
        </w:rPr>
        <w:cr/>
      </w:r>
      <w:r>
        <w:rPr>
          <w:rFonts w:hint="eastAsia" w:ascii="宋体" w:hAnsi="宋体"/>
          <w:sz w:val="21"/>
          <w:szCs w:val="21"/>
        </w:rPr>
        <w:t xml:space="preserve">   ——外购件的质量状况对产品的影响；  </w:t>
      </w:r>
      <w:r>
        <w:rPr>
          <w:rFonts w:hint="eastAsia" w:ascii="宋体" w:hAnsi="宋体"/>
          <w:sz w:val="21"/>
          <w:szCs w:val="21"/>
        </w:rPr>
        <w:cr/>
      </w:r>
      <w:r>
        <w:rPr>
          <w:rFonts w:hint="eastAsia" w:ascii="宋体" w:hAnsi="宋体"/>
          <w:sz w:val="21"/>
          <w:szCs w:val="21"/>
        </w:rPr>
        <w:t xml:space="preserve">   ——供方和外来人员在环境方面的责任和义务；    </w:t>
      </w:r>
    </w:p>
    <w:p w14:paraId="7603033E">
      <w:pPr>
        <w:widowControl/>
        <w:spacing w:line="400" w:lineRule="exact"/>
        <w:rPr>
          <w:rFonts w:ascii="宋体" w:hAnsi="宋体"/>
          <w:sz w:val="21"/>
          <w:szCs w:val="21"/>
        </w:rPr>
      </w:pPr>
      <w:r>
        <w:rPr>
          <w:rFonts w:hint="eastAsia" w:ascii="宋体" w:hAnsi="宋体"/>
          <w:sz w:val="21"/>
          <w:szCs w:val="21"/>
        </w:rPr>
        <w:t xml:space="preserve">   ——供方提供产品交付的及时性；  </w:t>
      </w:r>
    </w:p>
    <w:p w14:paraId="17CBA665">
      <w:pPr>
        <w:widowControl/>
        <w:spacing w:line="400" w:lineRule="exact"/>
        <w:rPr>
          <w:rFonts w:ascii="宋体" w:hAnsi="宋体"/>
          <w:sz w:val="21"/>
          <w:szCs w:val="21"/>
        </w:rPr>
      </w:pPr>
      <w:r>
        <w:rPr>
          <w:rFonts w:hint="eastAsia" w:ascii="宋体" w:hAnsi="宋体"/>
          <w:sz w:val="21"/>
          <w:szCs w:val="21"/>
        </w:rPr>
        <w:t xml:space="preserve">   ——供方配套件产品的技术状态变更等重大质量信息应及时性。</w:t>
      </w:r>
    </w:p>
    <w:p w14:paraId="421D520D">
      <w:pPr>
        <w:widowControl/>
        <w:spacing w:line="400" w:lineRule="exact"/>
        <w:rPr>
          <w:rFonts w:ascii="宋体" w:hAnsi="宋体"/>
          <w:sz w:val="21"/>
          <w:szCs w:val="21"/>
        </w:rPr>
      </w:pPr>
      <w:r>
        <w:rPr>
          <w:rFonts w:hint="eastAsia" w:ascii="宋体" w:hAnsi="宋体"/>
          <w:sz w:val="21"/>
          <w:szCs w:val="21"/>
        </w:rPr>
        <w:t xml:space="preserve">c）研发部关注研制任务的履行及实现、项目管理的情况，包括：  </w:t>
      </w:r>
    </w:p>
    <w:p w14:paraId="10AD98EE">
      <w:pPr>
        <w:widowControl/>
        <w:spacing w:line="400" w:lineRule="exact"/>
        <w:rPr>
          <w:rFonts w:ascii="宋体" w:hAnsi="宋体"/>
          <w:sz w:val="21"/>
          <w:szCs w:val="21"/>
        </w:rPr>
      </w:pPr>
      <w:r>
        <w:rPr>
          <w:rFonts w:hint="eastAsia" w:ascii="宋体" w:hAnsi="宋体"/>
          <w:sz w:val="21"/>
          <w:szCs w:val="21"/>
        </w:rPr>
        <w:t xml:space="preserve">   ——产业能否达到顾客的要求，关注研制过程和行业技术进步的情况；  </w:t>
      </w:r>
    </w:p>
    <w:p w14:paraId="1DA2B170">
      <w:pPr>
        <w:widowControl/>
        <w:spacing w:line="400" w:lineRule="exact"/>
        <w:rPr>
          <w:rFonts w:ascii="宋体" w:hAnsi="宋体"/>
          <w:sz w:val="21"/>
          <w:szCs w:val="21"/>
        </w:rPr>
      </w:pPr>
      <w:r>
        <w:rPr>
          <w:rFonts w:hint="eastAsia" w:ascii="宋体" w:hAnsi="宋体"/>
          <w:sz w:val="21"/>
          <w:szCs w:val="21"/>
        </w:rPr>
        <w:t xml:space="preserve">   ——所处行业领域新技术的应用及可能对公司产品的影响；  </w:t>
      </w:r>
    </w:p>
    <w:p w14:paraId="67ED1FA6">
      <w:pPr>
        <w:widowControl/>
        <w:spacing w:line="400" w:lineRule="exact"/>
        <w:rPr>
          <w:rFonts w:ascii="宋体" w:hAnsi="宋体"/>
          <w:sz w:val="21"/>
          <w:szCs w:val="21"/>
        </w:rPr>
      </w:pPr>
      <w:r>
        <w:rPr>
          <w:rFonts w:hint="eastAsia" w:ascii="宋体" w:hAnsi="宋体"/>
          <w:sz w:val="21"/>
          <w:szCs w:val="21"/>
        </w:rPr>
        <w:t xml:space="preserve">   ——与产品有关的配件领域的技术进步及可能对产品的影响；</w:t>
      </w:r>
    </w:p>
    <w:p w14:paraId="13514135">
      <w:pPr>
        <w:widowControl/>
        <w:spacing w:line="400" w:lineRule="exact"/>
        <w:rPr>
          <w:rFonts w:ascii="宋体" w:hAnsi="宋体"/>
          <w:sz w:val="21"/>
          <w:szCs w:val="21"/>
        </w:rPr>
      </w:pPr>
      <w:r>
        <w:rPr>
          <w:rFonts w:hint="eastAsia" w:ascii="宋体" w:hAnsi="宋体"/>
          <w:sz w:val="21"/>
          <w:szCs w:val="21"/>
        </w:rPr>
        <w:t xml:space="preserve">   ——与产品有关的法律法规要求的变化及可能对产品的影响； </w:t>
      </w:r>
    </w:p>
    <w:p w14:paraId="399E06E8">
      <w:pPr>
        <w:widowControl/>
        <w:spacing w:line="400" w:lineRule="exact"/>
        <w:rPr>
          <w:rFonts w:ascii="宋体" w:hAnsi="宋体"/>
          <w:sz w:val="21"/>
          <w:szCs w:val="21"/>
        </w:rPr>
      </w:pPr>
      <w:r>
        <w:rPr>
          <w:rFonts w:hint="eastAsia" w:ascii="宋体" w:hAnsi="宋体"/>
          <w:sz w:val="21"/>
          <w:szCs w:val="21"/>
        </w:rPr>
        <w:t xml:space="preserve">   ——对出口产品关注所在国家的法律法规要求；  </w:t>
      </w:r>
    </w:p>
    <w:p w14:paraId="35DCA6E0">
      <w:pPr>
        <w:widowControl/>
        <w:spacing w:line="400" w:lineRule="exact"/>
        <w:rPr>
          <w:rFonts w:ascii="宋体" w:hAnsi="宋体"/>
          <w:sz w:val="21"/>
          <w:szCs w:val="21"/>
        </w:rPr>
      </w:pPr>
      <w:r>
        <w:rPr>
          <w:rFonts w:hint="eastAsia" w:ascii="宋体" w:hAnsi="宋体"/>
          <w:sz w:val="21"/>
          <w:szCs w:val="21"/>
        </w:rPr>
        <w:t xml:space="preserve">   ——对顾客提出的特殊要求的满足情况，严格执行研制工作程序，转阶段控制、试验的控制；  </w:t>
      </w:r>
      <w:r>
        <w:rPr>
          <w:rFonts w:hint="eastAsia" w:ascii="宋体" w:hAnsi="宋体"/>
          <w:sz w:val="21"/>
          <w:szCs w:val="21"/>
        </w:rPr>
        <w:cr/>
      </w:r>
      <w:r>
        <w:rPr>
          <w:rFonts w:hint="eastAsia" w:ascii="宋体" w:hAnsi="宋体"/>
          <w:sz w:val="21"/>
          <w:szCs w:val="21"/>
        </w:rPr>
        <w:t xml:space="preserve">   ——设计的合理性 （技术先进性、可靠性、经济性等性能指标综合平衡）对产品的影响；  </w:t>
      </w:r>
      <w:r>
        <w:rPr>
          <w:rFonts w:hint="eastAsia" w:ascii="宋体" w:hAnsi="宋体"/>
          <w:sz w:val="21"/>
          <w:szCs w:val="21"/>
        </w:rPr>
        <w:cr/>
      </w:r>
      <w:r>
        <w:rPr>
          <w:rFonts w:hint="eastAsia" w:ascii="宋体" w:hAnsi="宋体"/>
          <w:sz w:val="21"/>
          <w:szCs w:val="21"/>
        </w:rPr>
        <w:t xml:space="preserve">   ——技术能力、技术水平的制约；  </w:t>
      </w:r>
    </w:p>
    <w:p w14:paraId="09514195">
      <w:pPr>
        <w:widowControl/>
        <w:spacing w:line="400" w:lineRule="exact"/>
        <w:rPr>
          <w:rFonts w:ascii="宋体" w:hAnsi="宋体"/>
          <w:sz w:val="21"/>
          <w:szCs w:val="21"/>
        </w:rPr>
      </w:pPr>
      <w:r>
        <w:rPr>
          <w:rFonts w:hint="eastAsia" w:ascii="宋体" w:hAnsi="宋体"/>
          <w:sz w:val="21"/>
          <w:szCs w:val="21"/>
        </w:rPr>
        <w:t xml:space="preserve">   ——研制进度滞后；  </w:t>
      </w:r>
    </w:p>
    <w:p w14:paraId="066FA13D">
      <w:pPr>
        <w:widowControl/>
        <w:spacing w:line="400" w:lineRule="exact"/>
        <w:rPr>
          <w:rFonts w:ascii="宋体" w:hAnsi="宋体"/>
          <w:sz w:val="21"/>
          <w:szCs w:val="21"/>
        </w:rPr>
      </w:pPr>
      <w:r>
        <w:rPr>
          <w:rFonts w:hint="eastAsia" w:ascii="宋体" w:hAnsi="宋体"/>
          <w:sz w:val="21"/>
          <w:szCs w:val="21"/>
        </w:rPr>
        <w:t xml:space="preserve">   ——技术管理的混乱引起的后果；  </w:t>
      </w:r>
    </w:p>
    <w:p w14:paraId="1AF50375">
      <w:pPr>
        <w:widowControl/>
        <w:spacing w:line="400" w:lineRule="exact"/>
        <w:rPr>
          <w:rFonts w:ascii="宋体" w:hAnsi="宋体"/>
          <w:sz w:val="21"/>
          <w:szCs w:val="21"/>
        </w:rPr>
      </w:pPr>
      <w:r>
        <w:rPr>
          <w:rFonts w:hint="eastAsia" w:ascii="宋体" w:hAnsi="宋体"/>
          <w:sz w:val="21"/>
          <w:szCs w:val="21"/>
        </w:rPr>
        <w:t xml:space="preserve">   ——研发技术的不可替代性（掌握核心技术、关键技术确保公司持续发展的能力，确保公司产品的先进性， </w:t>
      </w:r>
      <w:r>
        <w:rPr>
          <w:rFonts w:hint="eastAsia" w:ascii="宋体" w:hAnsi="宋体"/>
          <w:sz w:val="21"/>
          <w:szCs w:val="21"/>
        </w:rPr>
        <w:cr/>
      </w:r>
      <w:r>
        <w:rPr>
          <w:rFonts w:hint="eastAsia" w:ascii="宋体" w:hAnsi="宋体"/>
          <w:sz w:val="21"/>
          <w:szCs w:val="21"/>
        </w:rPr>
        <w:t xml:space="preserve">d）市场部关注与顾客有关的风险和机遇，包括： </w:t>
      </w:r>
    </w:p>
    <w:p w14:paraId="45599C9D">
      <w:pPr>
        <w:widowControl/>
        <w:spacing w:line="400" w:lineRule="exact"/>
        <w:rPr>
          <w:rFonts w:ascii="宋体" w:hAnsi="宋体"/>
          <w:sz w:val="21"/>
          <w:szCs w:val="21"/>
        </w:rPr>
      </w:pPr>
      <w:r>
        <w:rPr>
          <w:rFonts w:hint="eastAsia" w:ascii="宋体" w:hAnsi="宋体"/>
          <w:sz w:val="21"/>
          <w:szCs w:val="21"/>
        </w:rPr>
        <w:t xml:space="preserve">   ——市场环境及变化；  </w:t>
      </w:r>
      <w:r>
        <w:rPr>
          <w:rFonts w:hint="eastAsia" w:ascii="宋体" w:hAnsi="宋体"/>
          <w:sz w:val="21"/>
          <w:szCs w:val="21"/>
        </w:rPr>
        <w:cr/>
      </w:r>
      <w:r>
        <w:rPr>
          <w:rFonts w:hint="eastAsia" w:ascii="宋体" w:hAnsi="宋体"/>
          <w:sz w:val="21"/>
          <w:szCs w:val="21"/>
        </w:rPr>
        <w:t xml:space="preserve">   ——顾客的需求和潜在需求；  </w:t>
      </w:r>
      <w:r>
        <w:rPr>
          <w:rFonts w:hint="eastAsia" w:ascii="宋体" w:hAnsi="宋体"/>
          <w:sz w:val="21"/>
          <w:szCs w:val="21"/>
        </w:rPr>
        <w:cr/>
      </w:r>
      <w:r>
        <w:rPr>
          <w:rFonts w:hint="eastAsia" w:ascii="宋体" w:hAnsi="宋体"/>
          <w:sz w:val="21"/>
          <w:szCs w:val="21"/>
        </w:rPr>
        <w:t xml:space="preserve">   ——用户对公司产品的满意程度；  </w:t>
      </w:r>
      <w:r>
        <w:rPr>
          <w:rFonts w:hint="eastAsia" w:ascii="宋体" w:hAnsi="宋体"/>
          <w:sz w:val="21"/>
          <w:szCs w:val="21"/>
        </w:rPr>
        <w:cr/>
      </w:r>
      <w:r>
        <w:rPr>
          <w:rFonts w:hint="eastAsia" w:ascii="宋体" w:hAnsi="宋体"/>
          <w:sz w:val="21"/>
          <w:szCs w:val="21"/>
        </w:rPr>
        <w:t xml:space="preserve">   ——合同的合规性，合同招标的策略；  </w:t>
      </w:r>
      <w:r>
        <w:rPr>
          <w:rFonts w:hint="eastAsia" w:ascii="宋体" w:hAnsi="宋体"/>
          <w:sz w:val="21"/>
          <w:szCs w:val="21"/>
        </w:rPr>
        <w:cr/>
      </w:r>
      <w:r>
        <w:rPr>
          <w:rFonts w:hint="eastAsia" w:ascii="宋体" w:hAnsi="宋体"/>
          <w:sz w:val="21"/>
          <w:szCs w:val="21"/>
        </w:rPr>
        <w:t xml:space="preserve">   ——合同执行过程中可能出现的风险；  </w:t>
      </w:r>
      <w:r>
        <w:rPr>
          <w:rFonts w:hint="eastAsia" w:ascii="宋体" w:hAnsi="宋体"/>
          <w:sz w:val="21"/>
          <w:szCs w:val="21"/>
        </w:rPr>
        <w:cr/>
      </w:r>
      <w:r>
        <w:rPr>
          <w:rFonts w:hint="eastAsia" w:ascii="宋体" w:hAnsi="宋体"/>
          <w:sz w:val="21"/>
          <w:szCs w:val="21"/>
        </w:rPr>
        <w:t xml:space="preserve">   ——顾客投诉，质量问题处理；  </w:t>
      </w:r>
      <w:r>
        <w:rPr>
          <w:rFonts w:hint="eastAsia" w:ascii="宋体" w:hAnsi="宋体"/>
          <w:sz w:val="21"/>
          <w:szCs w:val="21"/>
        </w:rPr>
        <w:cr/>
      </w:r>
      <w:r>
        <w:rPr>
          <w:rFonts w:hint="eastAsia" w:ascii="宋体" w:hAnsi="宋体"/>
          <w:sz w:val="21"/>
          <w:szCs w:val="21"/>
        </w:rPr>
        <w:t xml:space="preserve">   ——产品和服务的回款情况。</w:t>
      </w:r>
      <w:r>
        <w:rPr>
          <w:rFonts w:ascii="宋体" w:hAnsi="宋体"/>
          <w:sz w:val="21"/>
          <w:szCs w:val="21"/>
        </w:rPr>
        <w:cr/>
      </w:r>
      <w:r>
        <w:rPr>
          <w:rFonts w:hint="eastAsia" w:ascii="宋体" w:hAnsi="宋体"/>
          <w:sz w:val="21"/>
          <w:szCs w:val="21"/>
        </w:rPr>
        <w:t xml:space="preserve">e）质量管理部关注体系、与产品质量、监视测量设备等管理有关的风险，包括：  </w:t>
      </w:r>
      <w:r>
        <w:rPr>
          <w:rFonts w:hint="eastAsia" w:ascii="宋体" w:hAnsi="宋体"/>
          <w:sz w:val="21"/>
          <w:szCs w:val="21"/>
        </w:rPr>
        <w:cr/>
      </w:r>
      <w:r>
        <w:rPr>
          <w:rFonts w:hint="eastAsia" w:ascii="宋体" w:hAnsi="宋体"/>
          <w:sz w:val="21"/>
          <w:szCs w:val="21"/>
        </w:rPr>
        <w:t xml:space="preserve">   ——质量管理体系运行的稳定性；  </w:t>
      </w:r>
      <w:r>
        <w:rPr>
          <w:rFonts w:hint="eastAsia" w:ascii="宋体" w:hAnsi="宋体"/>
          <w:sz w:val="21"/>
          <w:szCs w:val="21"/>
        </w:rPr>
        <w:cr/>
      </w:r>
      <w:r>
        <w:rPr>
          <w:rFonts w:hint="eastAsia" w:ascii="宋体" w:hAnsi="宋体"/>
          <w:sz w:val="21"/>
          <w:szCs w:val="21"/>
        </w:rPr>
        <w:t xml:space="preserve">   ——与产品质量有关的法律法规的要求；  </w:t>
      </w:r>
      <w:r>
        <w:rPr>
          <w:rFonts w:hint="eastAsia" w:ascii="宋体" w:hAnsi="宋体"/>
          <w:sz w:val="21"/>
          <w:szCs w:val="21"/>
        </w:rPr>
        <w:cr/>
      </w:r>
      <w:r>
        <w:rPr>
          <w:rFonts w:hint="eastAsia" w:ascii="宋体" w:hAnsi="宋体"/>
          <w:sz w:val="21"/>
          <w:szCs w:val="21"/>
        </w:rPr>
        <w:t xml:space="preserve">   ——质量问题处理、重大质量问题处理；  </w:t>
      </w:r>
      <w:r>
        <w:rPr>
          <w:rFonts w:hint="eastAsia" w:ascii="宋体" w:hAnsi="宋体"/>
          <w:sz w:val="21"/>
          <w:szCs w:val="21"/>
        </w:rPr>
        <w:cr/>
      </w:r>
      <w:r>
        <w:rPr>
          <w:rFonts w:hint="eastAsia" w:ascii="宋体" w:hAnsi="宋体"/>
          <w:sz w:val="21"/>
          <w:szCs w:val="21"/>
        </w:rPr>
        <w:t xml:space="preserve">   ——关、重件对产品质量的影响；  </w:t>
      </w:r>
      <w:r>
        <w:rPr>
          <w:rFonts w:hint="eastAsia" w:ascii="宋体" w:hAnsi="宋体"/>
          <w:sz w:val="21"/>
          <w:szCs w:val="21"/>
        </w:rPr>
        <w:cr/>
      </w:r>
      <w:r>
        <w:rPr>
          <w:rFonts w:hint="eastAsia" w:ascii="宋体" w:hAnsi="宋体"/>
          <w:sz w:val="21"/>
          <w:szCs w:val="21"/>
        </w:rPr>
        <w:t xml:space="preserve">   ——测量系统的准确性、可覆盖性、可追溯性对管理体系的影响；  </w:t>
      </w:r>
      <w:r>
        <w:rPr>
          <w:rFonts w:hint="eastAsia" w:ascii="宋体" w:hAnsi="宋体"/>
          <w:sz w:val="21"/>
          <w:szCs w:val="21"/>
        </w:rPr>
        <w:cr/>
      </w:r>
      <w:r>
        <w:rPr>
          <w:rFonts w:hint="eastAsia" w:ascii="宋体" w:hAnsi="宋体"/>
          <w:sz w:val="21"/>
          <w:szCs w:val="21"/>
        </w:rPr>
        <w:t xml:space="preserve">   ——设备和基础设施的完好情况对管理体系的影响；  </w:t>
      </w:r>
      <w:r>
        <w:rPr>
          <w:rFonts w:hint="eastAsia" w:ascii="宋体" w:hAnsi="宋体"/>
          <w:sz w:val="21"/>
          <w:szCs w:val="21"/>
        </w:rPr>
        <w:cr/>
      </w:r>
      <w:r>
        <w:rPr>
          <w:rFonts w:hint="eastAsia" w:ascii="宋体" w:hAnsi="宋体"/>
          <w:sz w:val="21"/>
          <w:szCs w:val="21"/>
        </w:rPr>
        <w:t xml:space="preserve">   ——持续改进、预防纠正措施的完整性的影响；  </w:t>
      </w:r>
      <w:r>
        <w:rPr>
          <w:rFonts w:hint="eastAsia" w:ascii="宋体" w:hAnsi="宋体"/>
          <w:sz w:val="21"/>
          <w:szCs w:val="21"/>
        </w:rPr>
        <w:cr/>
      </w:r>
      <w:r>
        <w:rPr>
          <w:rFonts w:hint="eastAsia" w:ascii="宋体" w:hAnsi="宋体"/>
          <w:sz w:val="21"/>
          <w:szCs w:val="21"/>
        </w:rPr>
        <w:t xml:space="preserve">   ——各项制度的执行情况。</w:t>
      </w:r>
    </w:p>
    <w:p w14:paraId="13BDFAA0">
      <w:pPr>
        <w:widowControl/>
        <w:spacing w:line="400" w:lineRule="exact"/>
        <w:rPr>
          <w:rFonts w:ascii="宋体" w:hAnsi="宋体"/>
          <w:sz w:val="21"/>
          <w:szCs w:val="21"/>
        </w:rPr>
      </w:pPr>
      <w:r>
        <w:rPr>
          <w:rFonts w:hint="eastAsia" w:ascii="宋体" w:hAnsi="宋体"/>
          <w:sz w:val="21"/>
          <w:szCs w:val="21"/>
        </w:rPr>
        <w:t>f）生产运维部关注生产过程的风险，包括：</w:t>
      </w:r>
    </w:p>
    <w:p w14:paraId="7369A94F">
      <w:pPr>
        <w:widowControl/>
        <w:spacing w:line="400" w:lineRule="exact"/>
        <w:rPr>
          <w:rFonts w:ascii="宋体" w:hAnsi="宋体"/>
          <w:sz w:val="21"/>
          <w:szCs w:val="21"/>
        </w:rPr>
      </w:pPr>
      <w:r>
        <w:rPr>
          <w:rFonts w:hint="eastAsia" w:ascii="宋体" w:hAnsi="宋体"/>
          <w:sz w:val="21"/>
          <w:szCs w:val="21"/>
        </w:rPr>
        <w:t xml:space="preserve">   ——生产计划制定的合理性，保持均衡生产；  </w:t>
      </w:r>
      <w:r>
        <w:rPr>
          <w:rFonts w:hint="eastAsia" w:ascii="宋体" w:hAnsi="宋体"/>
          <w:sz w:val="21"/>
          <w:szCs w:val="21"/>
        </w:rPr>
        <w:cr/>
      </w:r>
      <w:r>
        <w:rPr>
          <w:rFonts w:hint="eastAsia" w:ascii="宋体" w:hAnsi="宋体"/>
          <w:sz w:val="21"/>
          <w:szCs w:val="21"/>
        </w:rPr>
        <w:t xml:space="preserve">   ——生产人员的能力能否满足生产要求；  </w:t>
      </w:r>
      <w:r>
        <w:rPr>
          <w:rFonts w:hint="eastAsia" w:ascii="宋体" w:hAnsi="宋体"/>
          <w:sz w:val="21"/>
          <w:szCs w:val="21"/>
        </w:rPr>
        <w:cr/>
      </w:r>
      <w:r>
        <w:rPr>
          <w:rFonts w:hint="eastAsia" w:ascii="宋体" w:hAnsi="宋体"/>
          <w:sz w:val="21"/>
          <w:szCs w:val="21"/>
        </w:rPr>
        <w:t xml:space="preserve">   ——生产工艺水平能否满足策划的要求；  </w:t>
      </w:r>
      <w:r>
        <w:rPr>
          <w:rFonts w:hint="eastAsia" w:ascii="宋体" w:hAnsi="宋体"/>
          <w:sz w:val="21"/>
          <w:szCs w:val="21"/>
        </w:rPr>
        <w:cr/>
      </w:r>
      <w:r>
        <w:rPr>
          <w:rFonts w:hint="eastAsia" w:ascii="宋体" w:hAnsi="宋体"/>
          <w:sz w:val="21"/>
          <w:szCs w:val="21"/>
        </w:rPr>
        <w:t xml:space="preserve">   ——设备设施能否满足产品生产的要求；  </w:t>
      </w:r>
      <w:r>
        <w:rPr>
          <w:rFonts w:hint="eastAsia" w:ascii="宋体" w:hAnsi="宋体"/>
          <w:sz w:val="21"/>
          <w:szCs w:val="21"/>
        </w:rPr>
        <w:cr/>
      </w:r>
      <w:r>
        <w:rPr>
          <w:rFonts w:hint="eastAsia" w:ascii="宋体" w:hAnsi="宋体"/>
          <w:sz w:val="21"/>
          <w:szCs w:val="21"/>
        </w:rPr>
        <w:t xml:space="preserve">   ——生产环境能否满足产品和生产现场、人员的要求；  </w:t>
      </w:r>
      <w:r>
        <w:rPr>
          <w:rFonts w:hint="eastAsia" w:ascii="宋体" w:hAnsi="宋体"/>
          <w:sz w:val="21"/>
          <w:szCs w:val="21"/>
        </w:rPr>
        <w:cr/>
      </w:r>
      <w:r>
        <w:rPr>
          <w:rFonts w:hint="eastAsia" w:ascii="宋体" w:hAnsi="宋体"/>
          <w:sz w:val="21"/>
          <w:szCs w:val="21"/>
        </w:rPr>
        <w:t xml:space="preserve">   ——现场管理、物料、在制品、可追溯性的管理。  </w:t>
      </w:r>
      <w:r>
        <w:rPr>
          <w:rFonts w:hint="eastAsia" w:ascii="宋体" w:hAnsi="宋体"/>
          <w:sz w:val="21"/>
          <w:szCs w:val="21"/>
        </w:rPr>
        <w:cr/>
      </w:r>
      <w:r>
        <w:rPr>
          <w:rFonts w:hint="eastAsia" w:ascii="宋体" w:hAnsi="宋体"/>
          <w:sz w:val="21"/>
          <w:szCs w:val="21"/>
        </w:rPr>
        <w:t xml:space="preserve"> g）财务资产部关注资金风险管理，包括：</w:t>
      </w:r>
    </w:p>
    <w:p w14:paraId="29049020">
      <w:pPr>
        <w:widowControl/>
        <w:spacing w:line="400" w:lineRule="exact"/>
        <w:ind w:firstLine="315" w:firstLineChars="150"/>
        <w:rPr>
          <w:rFonts w:ascii="宋体" w:hAnsi="宋体"/>
          <w:sz w:val="21"/>
          <w:szCs w:val="21"/>
        </w:rPr>
      </w:pPr>
      <w:r>
        <w:rPr>
          <w:rFonts w:hint="eastAsia" w:ascii="宋体" w:hAnsi="宋体"/>
          <w:sz w:val="21"/>
          <w:szCs w:val="21"/>
        </w:rPr>
        <w:t xml:space="preserve">——资金充裕，满足装备研制、生产交付的能力；  </w:t>
      </w:r>
      <w:r>
        <w:rPr>
          <w:rFonts w:hint="eastAsia" w:ascii="宋体" w:hAnsi="宋体"/>
          <w:sz w:val="21"/>
          <w:szCs w:val="21"/>
        </w:rPr>
        <w:cr/>
      </w:r>
      <w:r>
        <w:rPr>
          <w:rFonts w:hint="eastAsia" w:ascii="宋体" w:hAnsi="宋体"/>
          <w:sz w:val="21"/>
          <w:szCs w:val="21"/>
        </w:rPr>
        <w:t xml:space="preserve">   ——成本控制； </w:t>
      </w:r>
    </w:p>
    <w:p w14:paraId="11A4A201">
      <w:pPr>
        <w:widowControl/>
        <w:spacing w:line="400" w:lineRule="exact"/>
        <w:rPr>
          <w:rFonts w:ascii="宋体" w:hAnsi="宋体"/>
          <w:sz w:val="21"/>
          <w:szCs w:val="21"/>
        </w:rPr>
      </w:pPr>
      <w:r>
        <w:rPr>
          <w:rFonts w:hint="eastAsia" w:ascii="宋体" w:hAnsi="宋体"/>
          <w:sz w:val="21"/>
          <w:szCs w:val="21"/>
        </w:rPr>
        <w:t xml:space="preserve">   ——质量损失的风险；  </w:t>
      </w:r>
      <w:r>
        <w:rPr>
          <w:rFonts w:hint="eastAsia" w:ascii="宋体" w:hAnsi="宋体"/>
          <w:sz w:val="21"/>
          <w:szCs w:val="21"/>
        </w:rPr>
        <w:cr/>
      </w:r>
      <w:r>
        <w:rPr>
          <w:rFonts w:hint="eastAsia" w:ascii="宋体" w:hAnsi="宋体"/>
          <w:sz w:val="21"/>
          <w:szCs w:val="21"/>
        </w:rPr>
        <w:t xml:space="preserve">   ——资金控制与预警；  </w:t>
      </w:r>
      <w:r>
        <w:rPr>
          <w:rFonts w:hint="eastAsia" w:ascii="宋体" w:hAnsi="宋体"/>
          <w:sz w:val="21"/>
          <w:szCs w:val="21"/>
        </w:rPr>
        <w:cr/>
      </w:r>
      <w:r>
        <w:rPr>
          <w:rFonts w:hint="eastAsia" w:ascii="宋体" w:hAnsi="宋体"/>
          <w:sz w:val="21"/>
          <w:szCs w:val="21"/>
        </w:rPr>
        <w:t xml:space="preserve">   ——财务合规性；  </w:t>
      </w:r>
      <w:r>
        <w:rPr>
          <w:rFonts w:hint="eastAsia" w:ascii="宋体" w:hAnsi="宋体"/>
          <w:sz w:val="21"/>
          <w:szCs w:val="21"/>
        </w:rPr>
        <w:cr/>
      </w:r>
      <w:r>
        <w:rPr>
          <w:rFonts w:hint="eastAsia" w:ascii="宋体" w:hAnsi="宋体"/>
          <w:sz w:val="21"/>
          <w:szCs w:val="21"/>
        </w:rPr>
        <w:t xml:space="preserve">6.1.2.2 风险和机遇的评估  </w:t>
      </w:r>
      <w:r>
        <w:rPr>
          <w:rFonts w:hint="eastAsia" w:ascii="宋体" w:hAnsi="宋体"/>
          <w:sz w:val="21"/>
          <w:szCs w:val="21"/>
        </w:rPr>
        <w:cr/>
      </w:r>
      <w:r>
        <w:rPr>
          <w:rFonts w:hint="eastAsia" w:ascii="宋体" w:hAnsi="宋体"/>
          <w:sz w:val="21"/>
          <w:szCs w:val="21"/>
        </w:rPr>
        <w:t xml:space="preserve">    发现或管理风险的部门通过评审的方式对风险和机遇进行评估。根据重要程度，评审的形式可以是会议或现场评价。评审的结论可包括：</w:t>
      </w:r>
    </w:p>
    <w:p w14:paraId="5144A975">
      <w:pPr>
        <w:widowControl/>
        <w:spacing w:line="400" w:lineRule="exact"/>
        <w:ind w:firstLine="420" w:firstLineChars="200"/>
        <w:rPr>
          <w:rFonts w:ascii="宋体" w:hAnsi="宋体"/>
          <w:sz w:val="21"/>
          <w:szCs w:val="21"/>
        </w:rPr>
      </w:pPr>
      <w:r>
        <w:rPr>
          <w:rFonts w:hint="eastAsia" w:ascii="宋体" w:hAnsi="宋体"/>
          <w:sz w:val="21"/>
          <w:szCs w:val="21"/>
        </w:rPr>
        <w:t xml:space="preserve">a）采取直接的措施规避风险； </w:t>
      </w:r>
    </w:p>
    <w:p w14:paraId="6746E777">
      <w:pPr>
        <w:widowControl/>
        <w:spacing w:line="400" w:lineRule="exact"/>
        <w:rPr>
          <w:rFonts w:ascii="宋体" w:hAnsi="宋体"/>
          <w:sz w:val="21"/>
          <w:szCs w:val="21"/>
        </w:rPr>
      </w:pPr>
      <w:r>
        <w:rPr>
          <w:rFonts w:hint="eastAsia" w:ascii="宋体" w:hAnsi="宋体"/>
          <w:sz w:val="21"/>
          <w:szCs w:val="21"/>
        </w:rPr>
        <w:t xml:space="preserve">    b）采取间接措施改变风险发生的可能性和后果；</w:t>
      </w:r>
    </w:p>
    <w:p w14:paraId="3AA06B7E">
      <w:pPr>
        <w:widowControl/>
        <w:spacing w:line="400" w:lineRule="exact"/>
        <w:rPr>
          <w:rFonts w:ascii="宋体" w:hAnsi="宋体"/>
          <w:sz w:val="21"/>
          <w:szCs w:val="21"/>
        </w:rPr>
      </w:pPr>
      <w:r>
        <w:rPr>
          <w:rFonts w:hint="eastAsia" w:ascii="宋体" w:hAnsi="宋体"/>
          <w:sz w:val="21"/>
          <w:szCs w:val="21"/>
        </w:rPr>
        <w:t xml:space="preserve">    c）为寻求机遇承担风险。  </w:t>
      </w:r>
      <w:r>
        <w:rPr>
          <w:rFonts w:hint="eastAsia" w:ascii="宋体" w:hAnsi="宋体"/>
          <w:sz w:val="21"/>
          <w:szCs w:val="21"/>
        </w:rPr>
        <w:cr/>
      </w:r>
      <w:r>
        <w:rPr>
          <w:rFonts w:hint="eastAsia" w:ascii="宋体" w:hAnsi="宋体"/>
          <w:sz w:val="21"/>
          <w:szCs w:val="21"/>
        </w:rPr>
        <w:t xml:space="preserve">    关于风险和机遇的会议和现场评价由组织评价的部门保留记录。法律法规方面的风险由相关部门按法律法规要求执行，必要时由管理层推动执行。</w:t>
      </w:r>
    </w:p>
    <w:p w14:paraId="225D07B1">
      <w:pPr>
        <w:widowControl/>
        <w:spacing w:line="400" w:lineRule="exact"/>
        <w:rPr>
          <w:rFonts w:ascii="宋体" w:hAnsi="宋体"/>
          <w:sz w:val="21"/>
          <w:szCs w:val="21"/>
        </w:rPr>
      </w:pPr>
      <w:r>
        <w:rPr>
          <w:rFonts w:hint="eastAsia" w:ascii="宋体" w:hAnsi="宋体"/>
          <w:sz w:val="21"/>
          <w:szCs w:val="21"/>
        </w:rPr>
        <w:t xml:space="preserve">6.1.2.3 风险和机遇的管理  </w:t>
      </w:r>
      <w:r>
        <w:rPr>
          <w:rFonts w:hint="eastAsia" w:ascii="宋体" w:hAnsi="宋体"/>
          <w:sz w:val="21"/>
          <w:szCs w:val="21"/>
        </w:rPr>
        <w:cr/>
      </w:r>
      <w:r>
        <w:rPr>
          <w:rFonts w:hint="eastAsia" w:ascii="宋体" w:hAnsi="宋体"/>
          <w:sz w:val="21"/>
          <w:szCs w:val="21"/>
        </w:rPr>
        <w:t xml:space="preserve">   综合管理部是应对风险和机遇的措施的归口管理部门。各部门按《风险管理制度》（HY-CX-22</w:t>
      </w:r>
      <w:r>
        <w:rPr>
          <w:rFonts w:ascii="宋体" w:hAnsi="宋体"/>
          <w:sz w:val="21"/>
          <w:szCs w:val="21"/>
        </w:rPr>
        <w:t>-202</w:t>
      </w:r>
      <w:r>
        <w:rPr>
          <w:rFonts w:hint="eastAsia" w:ascii="宋体" w:hAnsi="宋体"/>
          <w:sz w:val="21"/>
          <w:szCs w:val="21"/>
        </w:rPr>
        <w:t>2）执行，相关部门根据评价的结果采取必要的措施，定期检查和验证措施的有效性。</w:t>
      </w:r>
    </w:p>
    <w:p w14:paraId="0AB9DF59">
      <w:pPr>
        <w:pStyle w:val="3"/>
        <w:spacing w:before="120" w:beforeLines="50" w:after="120" w:afterLines="50" w:line="400" w:lineRule="exact"/>
        <w:rPr>
          <w:rFonts w:ascii="宋体" w:hAnsi="宋体" w:eastAsia="宋体"/>
          <w:sz w:val="24"/>
          <w:szCs w:val="24"/>
        </w:rPr>
      </w:pPr>
      <w:bookmarkStart w:id="68" w:name="_Toc509844807"/>
      <w:bookmarkStart w:id="69" w:name="_Toc509844117"/>
      <w:bookmarkStart w:id="70" w:name="_Toc509845139"/>
      <w:bookmarkStart w:id="71" w:name="_Toc521509451"/>
      <w:r>
        <w:rPr>
          <w:rFonts w:hint="eastAsia" w:ascii="宋体" w:hAnsi="宋体" w:eastAsia="宋体"/>
          <w:sz w:val="24"/>
          <w:szCs w:val="24"/>
        </w:rPr>
        <w:t>6.2 质量目标及其实现的策划</w:t>
      </w:r>
      <w:bookmarkEnd w:id="68"/>
      <w:bookmarkEnd w:id="69"/>
      <w:bookmarkEnd w:id="70"/>
      <w:bookmarkEnd w:id="71"/>
      <w:r>
        <w:rPr>
          <w:rFonts w:hint="eastAsia" w:ascii="宋体" w:hAnsi="宋体" w:eastAsia="宋体"/>
          <w:sz w:val="24"/>
          <w:szCs w:val="24"/>
        </w:rPr>
        <w:t xml:space="preserve"> </w:t>
      </w:r>
    </w:p>
    <w:p w14:paraId="7F8B7CF5">
      <w:pPr>
        <w:widowControl/>
        <w:spacing w:line="400" w:lineRule="exact"/>
        <w:rPr>
          <w:rFonts w:ascii="宋体" w:hAnsi="宋体"/>
          <w:sz w:val="21"/>
          <w:szCs w:val="21"/>
        </w:rPr>
      </w:pPr>
      <w:r>
        <w:rPr>
          <w:rFonts w:hint="eastAsia" w:ascii="宋体" w:hAnsi="宋体"/>
          <w:sz w:val="21"/>
          <w:szCs w:val="21"/>
        </w:rPr>
        <w:t>6.2.1 公司应针对相关职能、层次和质量管理体系所需的过程建立质量目标。</w:t>
      </w:r>
    </w:p>
    <w:p w14:paraId="4547912F">
      <w:pPr>
        <w:widowControl/>
        <w:spacing w:line="400" w:lineRule="exact"/>
        <w:ind w:firstLine="420" w:firstLineChars="200"/>
        <w:rPr>
          <w:rFonts w:ascii="宋体" w:hAnsi="宋体"/>
          <w:sz w:val="21"/>
          <w:szCs w:val="21"/>
        </w:rPr>
      </w:pPr>
      <w:r>
        <w:rPr>
          <w:rFonts w:hint="eastAsia" w:ascii="宋体" w:hAnsi="宋体"/>
          <w:sz w:val="21"/>
          <w:szCs w:val="21"/>
        </w:rPr>
        <w:t xml:space="preserve">质量目标应： </w:t>
      </w:r>
    </w:p>
    <w:p w14:paraId="3944FA01">
      <w:pPr>
        <w:widowControl/>
        <w:spacing w:line="400" w:lineRule="exact"/>
        <w:ind w:firstLine="420" w:firstLineChars="200"/>
        <w:rPr>
          <w:rFonts w:ascii="宋体" w:hAnsi="宋体"/>
          <w:sz w:val="21"/>
          <w:szCs w:val="21"/>
        </w:rPr>
      </w:pPr>
      <w:r>
        <w:rPr>
          <w:rFonts w:hint="eastAsia" w:ascii="宋体" w:hAnsi="宋体"/>
          <w:sz w:val="21"/>
          <w:szCs w:val="21"/>
        </w:rPr>
        <w:t xml:space="preserve">a)与质量方针保持一致； </w:t>
      </w:r>
    </w:p>
    <w:p w14:paraId="51747FF7">
      <w:pPr>
        <w:widowControl/>
        <w:spacing w:line="400" w:lineRule="exact"/>
        <w:ind w:firstLine="420" w:firstLineChars="200"/>
        <w:rPr>
          <w:rFonts w:ascii="宋体" w:hAnsi="宋体"/>
          <w:sz w:val="21"/>
          <w:szCs w:val="21"/>
        </w:rPr>
      </w:pPr>
      <w:r>
        <w:rPr>
          <w:rFonts w:hint="eastAsia" w:ascii="宋体" w:hAnsi="宋体"/>
          <w:sz w:val="21"/>
          <w:szCs w:val="21"/>
        </w:rPr>
        <w:t xml:space="preserve">b)可测量； </w:t>
      </w:r>
    </w:p>
    <w:p w14:paraId="45F18CFB">
      <w:pPr>
        <w:widowControl/>
        <w:spacing w:line="400" w:lineRule="exact"/>
        <w:ind w:firstLine="420" w:firstLineChars="200"/>
        <w:rPr>
          <w:rFonts w:ascii="宋体" w:hAnsi="宋体"/>
          <w:sz w:val="21"/>
          <w:szCs w:val="21"/>
        </w:rPr>
      </w:pPr>
      <w:r>
        <w:rPr>
          <w:rFonts w:hint="eastAsia" w:ascii="宋体" w:hAnsi="宋体"/>
          <w:sz w:val="21"/>
          <w:szCs w:val="21"/>
        </w:rPr>
        <w:t xml:space="preserve">c)考虑适用的要求； </w:t>
      </w:r>
    </w:p>
    <w:p w14:paraId="3F39E34B">
      <w:pPr>
        <w:widowControl/>
        <w:spacing w:line="400" w:lineRule="exact"/>
        <w:ind w:firstLine="420" w:firstLineChars="200"/>
        <w:rPr>
          <w:rFonts w:ascii="宋体" w:hAnsi="宋体"/>
          <w:sz w:val="21"/>
          <w:szCs w:val="21"/>
        </w:rPr>
      </w:pPr>
      <w:r>
        <w:rPr>
          <w:rFonts w:hint="eastAsia" w:ascii="宋体" w:hAnsi="宋体"/>
          <w:sz w:val="21"/>
          <w:szCs w:val="21"/>
        </w:rPr>
        <w:t xml:space="preserve">d)与产品和服务合格以及增强顾客满意相关； </w:t>
      </w:r>
    </w:p>
    <w:p w14:paraId="1BAE9003">
      <w:pPr>
        <w:widowControl/>
        <w:spacing w:line="400" w:lineRule="exact"/>
        <w:ind w:firstLine="420" w:firstLineChars="200"/>
        <w:rPr>
          <w:rFonts w:ascii="宋体" w:hAnsi="宋体"/>
          <w:sz w:val="21"/>
          <w:szCs w:val="21"/>
        </w:rPr>
      </w:pPr>
      <w:r>
        <w:rPr>
          <w:rFonts w:hint="eastAsia" w:ascii="宋体" w:hAnsi="宋体"/>
          <w:sz w:val="21"/>
          <w:szCs w:val="21"/>
        </w:rPr>
        <w:t xml:space="preserve">e)通过每月或每季度对质量目标的统计分析予以监视； </w:t>
      </w:r>
    </w:p>
    <w:p w14:paraId="2EDBB9FE">
      <w:pPr>
        <w:widowControl/>
        <w:spacing w:line="400" w:lineRule="exact"/>
        <w:ind w:firstLine="420" w:firstLineChars="200"/>
        <w:rPr>
          <w:rFonts w:ascii="宋体" w:hAnsi="宋体"/>
          <w:sz w:val="21"/>
          <w:szCs w:val="21"/>
        </w:rPr>
      </w:pPr>
      <w:r>
        <w:rPr>
          <w:rFonts w:hint="eastAsia" w:ascii="宋体" w:hAnsi="宋体"/>
          <w:sz w:val="21"/>
          <w:szCs w:val="21"/>
        </w:rPr>
        <w:t xml:space="preserve">f)通过文件的形式予以沟通； </w:t>
      </w:r>
    </w:p>
    <w:p w14:paraId="14B38424">
      <w:pPr>
        <w:widowControl/>
        <w:spacing w:line="400" w:lineRule="exact"/>
        <w:ind w:firstLine="420" w:firstLineChars="200"/>
        <w:rPr>
          <w:rFonts w:ascii="宋体" w:hAnsi="宋体"/>
          <w:sz w:val="21"/>
          <w:szCs w:val="21"/>
        </w:rPr>
      </w:pPr>
      <w:r>
        <w:rPr>
          <w:rFonts w:hint="eastAsia" w:ascii="宋体" w:hAnsi="宋体"/>
          <w:sz w:val="21"/>
          <w:szCs w:val="21"/>
        </w:rPr>
        <w:t>g)每年年初或管理评审后适时更新。</w:t>
      </w:r>
    </w:p>
    <w:p w14:paraId="6BA0A52F">
      <w:pPr>
        <w:widowControl/>
        <w:spacing w:line="400" w:lineRule="exact"/>
        <w:ind w:firstLine="420" w:firstLineChars="200"/>
        <w:rPr>
          <w:rFonts w:ascii="宋体" w:hAnsi="宋体"/>
          <w:sz w:val="21"/>
          <w:szCs w:val="21"/>
        </w:rPr>
      </w:pPr>
      <w:r>
        <w:rPr>
          <w:rFonts w:hint="eastAsia" w:ascii="宋体" w:hAnsi="宋体"/>
          <w:sz w:val="21"/>
          <w:szCs w:val="21"/>
        </w:rPr>
        <w:t xml:space="preserve">公司应保持有关质量目标的成文信息。公司的质量目标和相关职能层次的质量目标，根据公司总的经营目标和上年度目标完成情况，每年年初或管理评审后由质量管理部牵头组织策划，以公司文件的形式下发各单位遵照执行。 </w:t>
      </w:r>
    </w:p>
    <w:p w14:paraId="5A4104AE">
      <w:pPr>
        <w:widowControl/>
        <w:spacing w:line="400" w:lineRule="exact"/>
        <w:rPr>
          <w:rFonts w:ascii="宋体" w:hAnsi="宋体"/>
          <w:sz w:val="21"/>
          <w:szCs w:val="21"/>
        </w:rPr>
      </w:pPr>
      <w:r>
        <w:rPr>
          <w:rFonts w:hint="eastAsia" w:ascii="宋体" w:hAnsi="宋体"/>
          <w:sz w:val="21"/>
          <w:szCs w:val="21"/>
        </w:rPr>
        <w:t xml:space="preserve">6.2.2 策划如何实现质量目标时，公司及各部门应确定： </w:t>
      </w:r>
    </w:p>
    <w:p w14:paraId="3CA7BA59">
      <w:pPr>
        <w:widowControl/>
        <w:spacing w:line="400" w:lineRule="exact"/>
        <w:ind w:firstLine="420" w:firstLineChars="200"/>
        <w:rPr>
          <w:rFonts w:ascii="宋体" w:hAnsi="宋体"/>
          <w:sz w:val="21"/>
          <w:szCs w:val="21"/>
        </w:rPr>
      </w:pPr>
      <w:r>
        <w:rPr>
          <w:rFonts w:hint="eastAsia" w:ascii="宋体" w:hAnsi="宋体"/>
          <w:sz w:val="21"/>
          <w:szCs w:val="21"/>
        </w:rPr>
        <w:t>a)要做什么；</w:t>
      </w:r>
    </w:p>
    <w:p w14:paraId="09FE7315">
      <w:pPr>
        <w:widowControl/>
        <w:spacing w:line="400" w:lineRule="exact"/>
        <w:ind w:firstLine="420" w:firstLineChars="200"/>
        <w:rPr>
          <w:rFonts w:ascii="宋体" w:hAnsi="宋体"/>
          <w:sz w:val="21"/>
          <w:szCs w:val="21"/>
        </w:rPr>
      </w:pPr>
      <w:r>
        <w:rPr>
          <w:rFonts w:hint="eastAsia" w:ascii="宋体" w:hAnsi="宋体"/>
          <w:sz w:val="21"/>
          <w:szCs w:val="21"/>
        </w:rPr>
        <w:t>b)</w:t>
      </w:r>
      <w:r>
        <w:rPr>
          <w:rFonts w:hint="eastAsia" w:hAnsi="宋体"/>
          <w:sz w:val="21"/>
        </w:rPr>
        <w:t>质量目标实施所</w:t>
      </w:r>
      <w:r>
        <w:rPr>
          <w:rFonts w:hAnsi="宋体"/>
          <w:sz w:val="21"/>
        </w:rPr>
        <w:t>需</w:t>
      </w:r>
      <w:r>
        <w:rPr>
          <w:rFonts w:hint="eastAsia" w:hAnsi="宋体"/>
          <w:sz w:val="21"/>
        </w:rPr>
        <w:t>的</w:t>
      </w:r>
      <w:r>
        <w:rPr>
          <w:rFonts w:hAnsi="宋体"/>
          <w:sz w:val="21"/>
        </w:rPr>
        <w:t>资源</w:t>
      </w:r>
      <w:r>
        <w:rPr>
          <w:rFonts w:hint="eastAsia" w:hAnsi="宋体"/>
          <w:sz w:val="21"/>
        </w:rPr>
        <w:t>：包括人力资源、基础设施、办公电脑、知识（标准资料）</w:t>
      </w:r>
      <w:r>
        <w:rPr>
          <w:rFonts w:hint="eastAsia" w:ascii="宋体" w:hAnsi="宋体"/>
          <w:sz w:val="21"/>
          <w:szCs w:val="21"/>
        </w:rPr>
        <w:t>；</w:t>
      </w:r>
    </w:p>
    <w:p w14:paraId="6FE7BC63">
      <w:pPr>
        <w:widowControl/>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由谁负责</w:t>
      </w:r>
      <w:r>
        <w:rPr>
          <w:rFonts w:hint="eastAsia" w:ascii="宋体" w:hAnsi="宋体"/>
          <w:sz w:val="21"/>
          <w:szCs w:val="21"/>
        </w:rPr>
        <w:t>；</w:t>
      </w:r>
    </w:p>
    <w:p w14:paraId="79F8F18C">
      <w:pPr>
        <w:widowControl/>
        <w:spacing w:line="400" w:lineRule="exact"/>
        <w:ind w:firstLine="420" w:firstLineChars="200"/>
        <w:rPr>
          <w:rFonts w:ascii="宋体" w:hAnsi="宋体"/>
          <w:sz w:val="21"/>
          <w:szCs w:val="21"/>
        </w:rPr>
      </w:pPr>
      <w:r>
        <w:rPr>
          <w:rFonts w:hint="eastAsia" w:ascii="宋体" w:hAnsi="宋体"/>
          <w:sz w:val="21"/>
          <w:szCs w:val="21"/>
        </w:rPr>
        <w:t>d)</w:t>
      </w:r>
      <w:r>
        <w:rPr>
          <w:rFonts w:ascii="宋体" w:hAnsi="宋体"/>
          <w:sz w:val="21"/>
          <w:szCs w:val="21"/>
        </w:rPr>
        <w:t>何时完成</w:t>
      </w:r>
      <w:r>
        <w:rPr>
          <w:rFonts w:hint="eastAsia" w:ascii="宋体" w:hAnsi="宋体"/>
          <w:sz w:val="21"/>
          <w:szCs w:val="21"/>
        </w:rPr>
        <w:t>；</w:t>
      </w:r>
    </w:p>
    <w:p w14:paraId="28F6CF18">
      <w:pPr>
        <w:widowControl/>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如何评价结果。</w:t>
      </w:r>
    </w:p>
    <w:p w14:paraId="2A5BA27B">
      <w:pPr>
        <w:widowControl/>
        <w:spacing w:line="400" w:lineRule="exact"/>
        <w:rPr>
          <w:rFonts w:ascii="宋体" w:hAnsi="宋体"/>
          <w:sz w:val="21"/>
          <w:szCs w:val="21"/>
        </w:rPr>
      </w:pPr>
      <w:r>
        <w:rPr>
          <w:rFonts w:hint="eastAsia" w:ascii="宋体" w:hAnsi="宋体"/>
          <w:sz w:val="21"/>
          <w:szCs w:val="21"/>
        </w:rPr>
        <w:t>6.2.3 公司的目标：</w:t>
      </w:r>
    </w:p>
    <w:p w14:paraId="50F11773">
      <w:pPr>
        <w:widowControl/>
        <w:spacing w:line="400" w:lineRule="exact"/>
        <w:ind w:firstLine="420" w:firstLineChars="200"/>
        <w:rPr>
          <w:rFonts w:ascii="宋体" w:hAnsi="宋体"/>
          <w:sz w:val="21"/>
          <w:szCs w:val="21"/>
        </w:rPr>
      </w:pPr>
      <w:r>
        <w:rPr>
          <w:rFonts w:hint="eastAsia" w:ascii="宋体" w:hAnsi="宋体"/>
          <w:sz w:val="21"/>
          <w:szCs w:val="21"/>
        </w:rPr>
        <w:t>1、产品一次交验合格率≥97%</w:t>
      </w:r>
    </w:p>
    <w:p w14:paraId="060E840C">
      <w:pPr>
        <w:widowControl/>
        <w:spacing w:line="400" w:lineRule="exact"/>
        <w:ind w:firstLine="420" w:firstLineChars="200"/>
        <w:rPr>
          <w:rFonts w:ascii="宋体" w:hAnsi="宋体"/>
          <w:sz w:val="21"/>
          <w:szCs w:val="21"/>
        </w:rPr>
      </w:pPr>
      <w:r>
        <w:rPr>
          <w:rFonts w:hint="eastAsia" w:ascii="宋体" w:hAnsi="宋体"/>
          <w:sz w:val="21"/>
          <w:szCs w:val="21"/>
        </w:rPr>
        <w:t>2、顾客满意度≥97%</w:t>
      </w:r>
    </w:p>
    <w:p w14:paraId="2D9A561B">
      <w:pPr>
        <w:widowControl/>
        <w:spacing w:line="400" w:lineRule="exact"/>
        <w:ind w:firstLine="420" w:firstLineChars="200"/>
        <w:rPr>
          <w:rFonts w:ascii="宋体" w:hAnsi="宋体"/>
          <w:sz w:val="21"/>
          <w:szCs w:val="21"/>
        </w:rPr>
      </w:pPr>
      <w:r>
        <w:rPr>
          <w:rFonts w:hint="eastAsia" w:ascii="宋体" w:hAnsi="宋体"/>
          <w:sz w:val="21"/>
          <w:szCs w:val="21"/>
        </w:rPr>
        <w:t>3、受理软件著作权≥4项</w:t>
      </w:r>
    </w:p>
    <w:p w14:paraId="4927A142">
      <w:pPr>
        <w:widowControl/>
        <w:spacing w:line="400" w:lineRule="exact"/>
        <w:ind w:firstLine="420" w:firstLineChars="200"/>
        <w:rPr>
          <w:rFonts w:ascii="宋体" w:hAnsi="宋体"/>
          <w:sz w:val="21"/>
          <w:szCs w:val="21"/>
        </w:rPr>
      </w:pPr>
      <w:r>
        <w:rPr>
          <w:rFonts w:hint="eastAsia" w:ascii="宋体" w:hAnsi="宋体"/>
          <w:sz w:val="21"/>
          <w:szCs w:val="21"/>
        </w:rPr>
        <w:t>4、重大质量事故次数0次</w:t>
      </w:r>
    </w:p>
    <w:p w14:paraId="5BD4293A">
      <w:pPr>
        <w:widowControl/>
        <w:spacing w:line="400" w:lineRule="exact"/>
        <w:rPr>
          <w:rFonts w:ascii="宋体" w:hAnsi="宋体"/>
          <w:sz w:val="21"/>
          <w:szCs w:val="21"/>
        </w:rPr>
      </w:pPr>
      <w:r>
        <w:rPr>
          <w:rFonts w:hint="eastAsia" w:ascii="宋体" w:hAnsi="宋体"/>
          <w:sz w:val="21"/>
          <w:szCs w:val="21"/>
        </w:rPr>
        <w:t xml:space="preserve">6.3 变更的策划 </w:t>
      </w:r>
    </w:p>
    <w:p w14:paraId="34E4F38F">
      <w:pPr>
        <w:widowControl/>
        <w:spacing w:line="400" w:lineRule="exact"/>
        <w:ind w:firstLine="420" w:firstLineChars="200"/>
        <w:rPr>
          <w:rFonts w:ascii="宋体" w:hAnsi="宋体"/>
          <w:sz w:val="21"/>
          <w:szCs w:val="21"/>
        </w:rPr>
      </w:pPr>
      <w:r>
        <w:rPr>
          <w:rFonts w:hint="eastAsia" w:ascii="宋体" w:hAnsi="宋体"/>
          <w:sz w:val="21"/>
          <w:szCs w:val="21"/>
        </w:rPr>
        <w:t xml:space="preserve">公司质量管理部负责监视和评估是否需要对质量管理体系进行变更，主要通过对内、外部环境变化的分析来识别是否需要对体系进行变更。当公司确定需要对质量管理体系进行变更时，由质量管理部负责策划变更的方案，变更应按所策划的方式实施(见4.4)。 </w:t>
      </w:r>
    </w:p>
    <w:p w14:paraId="13E46FA8">
      <w:pPr>
        <w:widowControl/>
        <w:spacing w:line="400" w:lineRule="exact"/>
        <w:ind w:firstLine="200"/>
        <w:rPr>
          <w:rFonts w:ascii="宋体" w:hAnsi="宋体"/>
          <w:sz w:val="21"/>
          <w:szCs w:val="21"/>
        </w:rPr>
      </w:pPr>
      <w:r>
        <w:rPr>
          <w:rFonts w:hint="eastAsia" w:ascii="宋体" w:hAnsi="宋体"/>
          <w:sz w:val="21"/>
          <w:szCs w:val="21"/>
        </w:rPr>
        <w:t xml:space="preserve">公司应考虑： </w:t>
      </w:r>
    </w:p>
    <w:p w14:paraId="0635DF6C">
      <w:pPr>
        <w:widowControl/>
        <w:spacing w:line="400" w:lineRule="exact"/>
        <w:ind w:firstLine="420" w:firstLineChars="200"/>
        <w:rPr>
          <w:rFonts w:ascii="宋体" w:hAnsi="宋体"/>
          <w:sz w:val="21"/>
          <w:szCs w:val="21"/>
        </w:rPr>
      </w:pPr>
      <w:r>
        <w:rPr>
          <w:rFonts w:hint="eastAsia" w:ascii="宋体" w:hAnsi="宋体"/>
          <w:sz w:val="21"/>
          <w:szCs w:val="21"/>
        </w:rPr>
        <w:t xml:space="preserve">a)变更目的及其潜在后果； </w:t>
      </w:r>
    </w:p>
    <w:p w14:paraId="4EEF8CEA">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b)质量管理体系的完整性； </w:t>
      </w:r>
    </w:p>
    <w:p w14:paraId="137036B1">
      <w:pPr>
        <w:widowControl/>
        <w:spacing w:line="400" w:lineRule="exact"/>
        <w:ind w:firstLine="420" w:firstLineChars="200"/>
        <w:rPr>
          <w:rFonts w:ascii="宋体" w:hAnsi="宋体"/>
          <w:sz w:val="21"/>
          <w:szCs w:val="21"/>
        </w:rPr>
      </w:pPr>
      <w:r>
        <w:rPr>
          <w:rFonts w:hint="eastAsia" w:ascii="宋体" w:hAnsi="宋体"/>
          <w:sz w:val="21"/>
          <w:szCs w:val="21"/>
        </w:rPr>
        <w:t xml:space="preserve">c)资源的可获得性； </w:t>
      </w:r>
    </w:p>
    <w:p w14:paraId="2FA805EC">
      <w:pPr>
        <w:widowControl/>
        <w:spacing w:line="400" w:lineRule="exact"/>
        <w:ind w:firstLine="420" w:firstLineChars="200"/>
        <w:rPr>
          <w:rFonts w:ascii="宋体" w:hAnsi="宋体"/>
          <w:sz w:val="21"/>
          <w:szCs w:val="21"/>
        </w:rPr>
      </w:pPr>
      <w:r>
        <w:rPr>
          <w:rFonts w:hint="eastAsia" w:ascii="宋体" w:hAnsi="宋体"/>
          <w:sz w:val="21"/>
          <w:szCs w:val="21"/>
        </w:rPr>
        <w:t>d)职责和权限的分配或再分配。</w:t>
      </w:r>
    </w:p>
    <w:p w14:paraId="16BA0F38">
      <w:pPr>
        <w:widowControl/>
        <w:spacing w:line="400" w:lineRule="exact"/>
        <w:ind w:firstLine="420" w:firstLineChars="200"/>
        <w:rPr>
          <w:rFonts w:ascii="宋体" w:hAnsi="宋体"/>
          <w:sz w:val="21"/>
          <w:szCs w:val="21"/>
        </w:rPr>
      </w:pPr>
    </w:p>
    <w:p w14:paraId="3A4F64B2">
      <w:pPr>
        <w:widowControl/>
        <w:spacing w:line="400" w:lineRule="exact"/>
        <w:ind w:firstLine="420" w:firstLineChars="200"/>
        <w:rPr>
          <w:rFonts w:ascii="宋体" w:hAnsi="宋体"/>
          <w:sz w:val="21"/>
          <w:szCs w:val="21"/>
        </w:rPr>
      </w:pPr>
    </w:p>
    <w:p w14:paraId="3B18B527">
      <w:pPr>
        <w:widowControl/>
        <w:spacing w:line="400" w:lineRule="exact"/>
        <w:ind w:firstLine="420" w:firstLineChars="200"/>
        <w:rPr>
          <w:rFonts w:ascii="宋体" w:hAnsi="宋体"/>
          <w:sz w:val="21"/>
          <w:szCs w:val="21"/>
        </w:rPr>
      </w:pPr>
    </w:p>
    <w:p w14:paraId="53D73CEE">
      <w:pPr>
        <w:widowControl/>
        <w:spacing w:line="400" w:lineRule="exact"/>
        <w:ind w:firstLine="420" w:firstLineChars="200"/>
        <w:rPr>
          <w:rFonts w:ascii="宋体" w:hAnsi="宋体"/>
          <w:sz w:val="21"/>
          <w:szCs w:val="21"/>
        </w:rPr>
      </w:pPr>
    </w:p>
    <w:p w14:paraId="4EE6E30D">
      <w:pPr>
        <w:widowControl/>
        <w:spacing w:line="400" w:lineRule="exact"/>
        <w:ind w:firstLine="420" w:firstLineChars="200"/>
        <w:rPr>
          <w:rFonts w:ascii="宋体" w:hAnsi="宋体"/>
          <w:sz w:val="21"/>
          <w:szCs w:val="21"/>
        </w:rPr>
      </w:pPr>
    </w:p>
    <w:p w14:paraId="02FBAFF8">
      <w:pPr>
        <w:widowControl/>
        <w:spacing w:line="400" w:lineRule="exact"/>
        <w:ind w:firstLine="420" w:firstLineChars="200"/>
        <w:rPr>
          <w:rFonts w:ascii="宋体" w:hAnsi="宋体"/>
          <w:sz w:val="21"/>
          <w:szCs w:val="21"/>
        </w:rPr>
      </w:pPr>
    </w:p>
    <w:p w14:paraId="35241FA7">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7E866AFD">
      <w:pPr>
        <w:pStyle w:val="2"/>
        <w:spacing w:line="400" w:lineRule="exact"/>
        <w:rPr>
          <w:rFonts w:ascii="宋体" w:hAnsi="宋体"/>
          <w:sz w:val="28"/>
          <w:szCs w:val="28"/>
        </w:rPr>
      </w:pPr>
      <w:bookmarkStart w:id="72" w:name="_Toc509845140"/>
      <w:bookmarkStart w:id="73" w:name="_Toc521509452"/>
      <w:bookmarkStart w:id="74" w:name="_Toc509844808"/>
      <w:bookmarkStart w:id="75" w:name="_Toc509844118"/>
      <w:r>
        <w:rPr>
          <w:rFonts w:hint="eastAsia" w:ascii="宋体" w:hAnsi="宋体"/>
          <w:sz w:val="28"/>
          <w:szCs w:val="28"/>
        </w:rPr>
        <w:t>7支持</w:t>
      </w:r>
      <w:bookmarkEnd w:id="72"/>
      <w:bookmarkEnd w:id="73"/>
      <w:bookmarkEnd w:id="74"/>
      <w:bookmarkEnd w:id="75"/>
    </w:p>
    <w:p w14:paraId="7AC8DD6B">
      <w:pPr>
        <w:pStyle w:val="3"/>
        <w:spacing w:before="120" w:beforeLines="50" w:after="120" w:afterLines="50" w:line="400" w:lineRule="exact"/>
        <w:rPr>
          <w:rFonts w:ascii="宋体" w:hAnsi="宋体" w:eastAsia="宋体"/>
          <w:sz w:val="24"/>
          <w:szCs w:val="24"/>
        </w:rPr>
      </w:pPr>
      <w:bookmarkStart w:id="76" w:name="_Toc509844809"/>
      <w:bookmarkStart w:id="77" w:name="_Toc521509453"/>
      <w:bookmarkStart w:id="78" w:name="_Toc509845141"/>
      <w:bookmarkStart w:id="79" w:name="_Toc509844119"/>
      <w:r>
        <w:rPr>
          <w:rFonts w:hint="eastAsia" w:ascii="宋体" w:hAnsi="宋体" w:eastAsia="宋体"/>
          <w:sz w:val="24"/>
          <w:szCs w:val="24"/>
        </w:rPr>
        <w:t>7.1 资源</w:t>
      </w:r>
      <w:bookmarkEnd w:id="76"/>
      <w:bookmarkEnd w:id="77"/>
      <w:bookmarkEnd w:id="78"/>
      <w:bookmarkEnd w:id="79"/>
      <w:r>
        <w:rPr>
          <w:rFonts w:hint="eastAsia" w:ascii="宋体" w:hAnsi="宋体" w:eastAsia="宋体"/>
          <w:sz w:val="24"/>
          <w:szCs w:val="24"/>
        </w:rPr>
        <w:t xml:space="preserve"> </w:t>
      </w:r>
    </w:p>
    <w:p w14:paraId="562EBF1E">
      <w:pPr>
        <w:widowControl/>
        <w:spacing w:line="400" w:lineRule="exact"/>
        <w:rPr>
          <w:rFonts w:ascii="宋体" w:hAnsi="宋体"/>
          <w:sz w:val="21"/>
          <w:szCs w:val="21"/>
        </w:rPr>
      </w:pPr>
      <w:r>
        <w:rPr>
          <w:rFonts w:hint="eastAsia" w:ascii="宋体" w:hAnsi="宋体"/>
          <w:sz w:val="21"/>
          <w:szCs w:val="21"/>
        </w:rPr>
        <w:t xml:space="preserve">7.1.1 总则 </w:t>
      </w:r>
    </w:p>
    <w:p w14:paraId="1C00F257">
      <w:pPr>
        <w:widowControl/>
        <w:spacing w:line="400" w:lineRule="exact"/>
        <w:ind w:firstLine="420" w:firstLineChars="200"/>
        <w:rPr>
          <w:rFonts w:ascii="宋体" w:hAnsi="宋体"/>
          <w:sz w:val="21"/>
          <w:szCs w:val="21"/>
        </w:rPr>
      </w:pPr>
      <w:r>
        <w:rPr>
          <w:rFonts w:hint="eastAsia" w:ascii="宋体" w:hAnsi="宋体"/>
          <w:sz w:val="21"/>
          <w:szCs w:val="21"/>
        </w:rPr>
        <w:t xml:space="preserve">公司领导层应确定并提供所需的资源，以建立、实施、保持和持续改进质量管理体系。这些资源可包括：人力资源、基础设施（建筑物和相关设施；设备，包括硬件和软件，以及工艺设备；运输资源；信息和通迅技术）、过程运行环境、监视和测量资源、公司的知识等。 </w:t>
      </w:r>
    </w:p>
    <w:p w14:paraId="052AF655">
      <w:pPr>
        <w:widowControl/>
        <w:spacing w:line="400" w:lineRule="exact"/>
        <w:ind w:firstLine="420" w:firstLineChars="200"/>
        <w:rPr>
          <w:rFonts w:ascii="宋体" w:hAnsi="宋体"/>
          <w:sz w:val="21"/>
          <w:szCs w:val="21"/>
        </w:rPr>
      </w:pPr>
      <w:r>
        <w:rPr>
          <w:rFonts w:hint="eastAsia" w:ascii="宋体" w:hAnsi="宋体"/>
          <w:sz w:val="21"/>
          <w:szCs w:val="21"/>
        </w:rPr>
        <w:t xml:space="preserve">公司在确定并提供所需的资源时，应考虑： </w:t>
      </w:r>
    </w:p>
    <w:p w14:paraId="50707B5E">
      <w:pPr>
        <w:widowControl/>
        <w:spacing w:line="400" w:lineRule="exact"/>
        <w:ind w:firstLine="420" w:firstLineChars="200"/>
        <w:rPr>
          <w:rFonts w:ascii="宋体" w:hAnsi="宋体"/>
          <w:sz w:val="21"/>
          <w:szCs w:val="21"/>
        </w:rPr>
      </w:pPr>
      <w:r>
        <w:rPr>
          <w:rFonts w:hint="eastAsia" w:ascii="宋体" w:hAnsi="宋体"/>
          <w:sz w:val="21"/>
          <w:szCs w:val="21"/>
        </w:rPr>
        <w:t xml:space="preserve">a)现有内部资源的能力和局限； </w:t>
      </w:r>
    </w:p>
    <w:p w14:paraId="579C98F3">
      <w:pPr>
        <w:widowControl/>
        <w:spacing w:line="400" w:lineRule="exact"/>
        <w:ind w:firstLine="420" w:firstLineChars="200"/>
        <w:rPr>
          <w:rFonts w:ascii="宋体" w:hAnsi="宋体"/>
          <w:sz w:val="21"/>
          <w:szCs w:val="21"/>
        </w:rPr>
      </w:pPr>
      <w:r>
        <w:rPr>
          <w:rFonts w:hint="eastAsia" w:ascii="宋体" w:hAnsi="宋体"/>
          <w:sz w:val="21"/>
          <w:szCs w:val="21"/>
        </w:rPr>
        <w:t xml:space="preserve">b)需要从外部供方获得的资源； </w:t>
      </w:r>
    </w:p>
    <w:p w14:paraId="4197B564">
      <w:pPr>
        <w:widowControl/>
        <w:spacing w:line="400" w:lineRule="exact"/>
        <w:ind w:firstLine="420" w:firstLineChars="200"/>
        <w:rPr>
          <w:rFonts w:ascii="宋体" w:hAnsi="宋体"/>
          <w:sz w:val="21"/>
          <w:szCs w:val="21"/>
        </w:rPr>
      </w:pPr>
      <w:r>
        <w:rPr>
          <w:rFonts w:hint="eastAsia" w:ascii="宋体" w:hAnsi="宋体"/>
          <w:sz w:val="21"/>
          <w:szCs w:val="21"/>
        </w:rPr>
        <w:t>c)需要顾客提供的资源(如研制生产所需的法规、标准、技术资料等，试验鉴定所需的设备、设施、人员等)。</w:t>
      </w:r>
    </w:p>
    <w:p w14:paraId="70598787">
      <w:pPr>
        <w:widowControl/>
        <w:spacing w:line="400" w:lineRule="exact"/>
        <w:rPr>
          <w:rFonts w:ascii="宋体" w:hAnsi="宋体"/>
          <w:sz w:val="21"/>
          <w:szCs w:val="21"/>
        </w:rPr>
      </w:pPr>
      <w:r>
        <w:rPr>
          <w:rFonts w:hint="eastAsia" w:ascii="宋体" w:hAnsi="宋体"/>
          <w:sz w:val="21"/>
          <w:szCs w:val="21"/>
        </w:rPr>
        <w:t xml:space="preserve">7.1.2 人员 </w:t>
      </w:r>
    </w:p>
    <w:p w14:paraId="529219E1">
      <w:pPr>
        <w:widowControl/>
        <w:spacing w:line="400" w:lineRule="exact"/>
        <w:ind w:firstLine="420" w:firstLineChars="200"/>
        <w:rPr>
          <w:rFonts w:ascii="宋体" w:hAnsi="宋体"/>
          <w:sz w:val="21"/>
          <w:szCs w:val="21"/>
        </w:rPr>
      </w:pPr>
      <w:r>
        <w:rPr>
          <w:rFonts w:hint="eastAsia" w:ascii="宋体" w:hAnsi="宋体"/>
          <w:sz w:val="21"/>
          <w:szCs w:val="21"/>
        </w:rPr>
        <w:t xml:space="preserve">公司综合行政部负责确定并配备所需的人员，以有效实施质量管理体系，并运行和控制其过程。 </w:t>
      </w:r>
    </w:p>
    <w:p w14:paraId="5621EEDE">
      <w:pPr>
        <w:widowControl/>
        <w:spacing w:line="400" w:lineRule="exact"/>
        <w:rPr>
          <w:rFonts w:ascii="宋体" w:hAnsi="宋体"/>
          <w:sz w:val="21"/>
          <w:szCs w:val="21"/>
        </w:rPr>
      </w:pPr>
      <w:r>
        <w:rPr>
          <w:rFonts w:hint="eastAsia" w:ascii="宋体" w:hAnsi="宋体"/>
          <w:sz w:val="21"/>
          <w:szCs w:val="21"/>
        </w:rPr>
        <w:t xml:space="preserve">7.1.3 基础设施 </w:t>
      </w:r>
    </w:p>
    <w:p w14:paraId="57360A38">
      <w:pPr>
        <w:widowControl/>
        <w:spacing w:line="400" w:lineRule="exact"/>
        <w:ind w:firstLine="420" w:firstLineChars="200"/>
        <w:rPr>
          <w:rFonts w:ascii="宋体" w:hAnsi="宋体"/>
          <w:sz w:val="21"/>
          <w:szCs w:val="21"/>
        </w:rPr>
      </w:pPr>
      <w:r>
        <w:rPr>
          <w:rFonts w:hint="eastAsia" w:ascii="宋体" w:hAnsi="宋体"/>
          <w:sz w:val="21"/>
          <w:szCs w:val="21"/>
        </w:rPr>
        <w:t>公司应确定、提供和维护所需的基础设施，以运行过程，并获得合格产品和服务。</w:t>
      </w:r>
    </w:p>
    <w:p w14:paraId="3A50B2BB">
      <w:pPr>
        <w:widowControl/>
        <w:spacing w:line="400" w:lineRule="exact"/>
        <w:rPr>
          <w:rFonts w:ascii="宋体" w:hAnsi="宋体"/>
          <w:sz w:val="21"/>
          <w:szCs w:val="21"/>
        </w:rPr>
      </w:pPr>
      <w:r>
        <w:rPr>
          <w:rFonts w:hint="eastAsia" w:ascii="宋体" w:hAnsi="宋体"/>
          <w:sz w:val="21"/>
          <w:szCs w:val="21"/>
        </w:rPr>
        <w:t>所确定的基础设施包括：</w:t>
      </w:r>
    </w:p>
    <w:p w14:paraId="0D5A5657">
      <w:pPr>
        <w:widowControl/>
        <w:spacing w:line="400" w:lineRule="exact"/>
        <w:ind w:firstLine="420" w:firstLineChars="200"/>
        <w:rPr>
          <w:rFonts w:ascii="宋体" w:hAnsi="宋体"/>
          <w:sz w:val="21"/>
          <w:szCs w:val="21"/>
        </w:rPr>
      </w:pPr>
      <w:r>
        <w:rPr>
          <w:rFonts w:hint="eastAsia" w:ascii="宋体" w:hAnsi="宋体"/>
          <w:sz w:val="21"/>
          <w:szCs w:val="21"/>
        </w:rPr>
        <w:t xml:space="preserve">a)建筑物和相关设施（如厂房、试验用振动台、高低温试验箱等）； </w:t>
      </w:r>
    </w:p>
    <w:p w14:paraId="0B1AD157">
      <w:pPr>
        <w:widowControl/>
        <w:spacing w:line="400" w:lineRule="exact"/>
        <w:ind w:firstLine="420" w:firstLineChars="200"/>
        <w:rPr>
          <w:rFonts w:ascii="宋体" w:hAnsi="宋体"/>
          <w:sz w:val="21"/>
          <w:szCs w:val="21"/>
        </w:rPr>
      </w:pPr>
      <w:r>
        <w:rPr>
          <w:rFonts w:hint="eastAsia" w:ascii="宋体" w:hAnsi="宋体"/>
          <w:sz w:val="21"/>
          <w:szCs w:val="21"/>
        </w:rPr>
        <w:t xml:space="preserve">b)设备，包括硬件和软件，以及工艺设备； </w:t>
      </w:r>
    </w:p>
    <w:p w14:paraId="3B79B236">
      <w:pPr>
        <w:widowControl/>
        <w:spacing w:line="400" w:lineRule="exact"/>
        <w:ind w:firstLine="420" w:firstLineChars="200"/>
        <w:rPr>
          <w:rFonts w:ascii="宋体" w:hAnsi="宋体"/>
          <w:sz w:val="21"/>
          <w:szCs w:val="21"/>
        </w:rPr>
      </w:pPr>
      <w:r>
        <w:rPr>
          <w:rFonts w:hint="eastAsia" w:ascii="宋体" w:hAnsi="宋体"/>
          <w:sz w:val="21"/>
          <w:szCs w:val="21"/>
        </w:rPr>
        <w:t xml:space="preserve">c)运输资源； </w:t>
      </w:r>
    </w:p>
    <w:p w14:paraId="6CE38933">
      <w:pPr>
        <w:widowControl/>
        <w:spacing w:line="400" w:lineRule="exact"/>
        <w:ind w:firstLine="420" w:firstLineChars="200"/>
        <w:rPr>
          <w:rFonts w:ascii="宋体" w:hAnsi="宋体"/>
          <w:sz w:val="21"/>
          <w:szCs w:val="21"/>
        </w:rPr>
      </w:pPr>
      <w:r>
        <w:rPr>
          <w:rFonts w:hint="eastAsia" w:ascii="宋体" w:hAnsi="宋体"/>
          <w:sz w:val="21"/>
          <w:szCs w:val="21"/>
        </w:rPr>
        <w:t>d)信息和通讯技术。</w:t>
      </w:r>
    </w:p>
    <w:p w14:paraId="5A49E449">
      <w:pPr>
        <w:widowControl/>
        <w:spacing w:line="400" w:lineRule="exact"/>
        <w:ind w:firstLine="420" w:firstLineChars="200"/>
        <w:rPr>
          <w:rFonts w:ascii="宋体" w:hAnsi="宋体"/>
          <w:sz w:val="21"/>
          <w:szCs w:val="21"/>
        </w:rPr>
      </w:pPr>
      <w:r>
        <w:rPr>
          <w:rFonts w:hint="eastAsia" w:ascii="宋体" w:hAnsi="宋体"/>
          <w:sz w:val="21"/>
          <w:szCs w:val="21"/>
        </w:rPr>
        <w:t>公司建立并保持《设备设施管理制度》，综合行政部负责公司的设备设施使用过程中的监督、检查、保养、修理等工作。</w:t>
      </w:r>
    </w:p>
    <w:p w14:paraId="65FD3C57">
      <w:pPr>
        <w:widowControl/>
        <w:spacing w:line="400" w:lineRule="exact"/>
        <w:rPr>
          <w:rFonts w:ascii="宋体" w:hAnsi="宋体"/>
          <w:sz w:val="21"/>
          <w:szCs w:val="21"/>
        </w:rPr>
      </w:pPr>
      <w:r>
        <w:rPr>
          <w:rFonts w:hint="eastAsia" w:ascii="宋体" w:hAnsi="宋体"/>
          <w:sz w:val="21"/>
          <w:szCs w:val="21"/>
        </w:rPr>
        <w:t xml:space="preserve">7.1.4 过程运行环境 </w:t>
      </w:r>
    </w:p>
    <w:p w14:paraId="0172AED4">
      <w:pPr>
        <w:widowControl/>
        <w:spacing w:line="400" w:lineRule="exact"/>
        <w:ind w:firstLine="420" w:firstLineChars="200"/>
        <w:rPr>
          <w:rFonts w:ascii="宋体" w:hAnsi="宋体"/>
          <w:sz w:val="21"/>
          <w:szCs w:val="21"/>
        </w:rPr>
      </w:pPr>
      <w:r>
        <w:rPr>
          <w:rFonts w:hint="eastAsia" w:ascii="宋体" w:hAnsi="宋体"/>
          <w:sz w:val="21"/>
          <w:szCs w:val="21"/>
        </w:rPr>
        <w:t xml:space="preserve">生产运维部负责确定、提供并维护所需的环境，以运行过程，并获得合格产品和服务。公司产品形成过程中确定需要的运行环境，按工艺文件规定执行。对需要控制的环境物理因素，应保留监视、测量、控制和改进的记录。 </w:t>
      </w:r>
    </w:p>
    <w:p w14:paraId="18FDD728">
      <w:pPr>
        <w:widowControl/>
        <w:spacing w:line="400" w:lineRule="exact"/>
        <w:rPr>
          <w:rFonts w:ascii="宋体" w:hAnsi="宋体"/>
          <w:sz w:val="21"/>
          <w:szCs w:val="21"/>
        </w:rPr>
      </w:pPr>
      <w:r>
        <w:rPr>
          <w:rFonts w:hint="eastAsia" w:ascii="宋体" w:hAnsi="宋体"/>
          <w:sz w:val="21"/>
          <w:szCs w:val="21"/>
        </w:rPr>
        <w:t xml:space="preserve">适宜的过程运行环境可能是人为因素与物理因素的结合，例如： </w:t>
      </w:r>
    </w:p>
    <w:p w14:paraId="508FB1D1">
      <w:pPr>
        <w:widowControl/>
        <w:spacing w:line="400" w:lineRule="exact"/>
        <w:ind w:firstLine="420" w:firstLineChars="200"/>
        <w:rPr>
          <w:rFonts w:ascii="宋体" w:hAnsi="宋体"/>
          <w:sz w:val="21"/>
          <w:szCs w:val="21"/>
        </w:rPr>
      </w:pPr>
      <w:r>
        <w:rPr>
          <w:rFonts w:hint="eastAsia" w:ascii="宋体" w:hAnsi="宋体"/>
          <w:sz w:val="21"/>
          <w:szCs w:val="21"/>
        </w:rPr>
        <w:t xml:space="preserve">a)社会因素(如非歧视、安定、非对抗)； </w:t>
      </w:r>
    </w:p>
    <w:p w14:paraId="440F406C">
      <w:pPr>
        <w:widowControl/>
        <w:spacing w:line="400" w:lineRule="exact"/>
        <w:ind w:firstLine="420" w:firstLineChars="200"/>
        <w:rPr>
          <w:rFonts w:ascii="宋体" w:hAnsi="宋体"/>
          <w:sz w:val="21"/>
          <w:szCs w:val="21"/>
        </w:rPr>
      </w:pPr>
      <w:r>
        <w:rPr>
          <w:rFonts w:hint="eastAsia" w:ascii="宋体" w:hAnsi="宋体"/>
          <w:sz w:val="21"/>
          <w:szCs w:val="21"/>
        </w:rPr>
        <w:t xml:space="preserve">b)心理因素(如减压、预防过度疲劳、稳定情绪)； </w:t>
      </w:r>
    </w:p>
    <w:p w14:paraId="7CE3D7B2">
      <w:pPr>
        <w:widowControl/>
        <w:spacing w:line="400" w:lineRule="exact"/>
        <w:ind w:firstLine="420" w:firstLineChars="200"/>
        <w:rPr>
          <w:rFonts w:ascii="宋体" w:hAnsi="宋体"/>
          <w:sz w:val="21"/>
          <w:szCs w:val="21"/>
        </w:rPr>
      </w:pPr>
      <w:r>
        <w:rPr>
          <w:rFonts w:hint="eastAsia" w:ascii="宋体" w:hAnsi="宋体"/>
          <w:sz w:val="21"/>
          <w:szCs w:val="21"/>
        </w:rPr>
        <w:t xml:space="preserve">c)物理因素(如温度、热量、湿度、照明、空气流通、卫生、噪声，以及洁净度、静电、电磁辐射、振动、盐雾等)。 </w:t>
      </w:r>
    </w:p>
    <w:p w14:paraId="46F335B1">
      <w:pPr>
        <w:widowControl/>
        <w:spacing w:line="400" w:lineRule="exact"/>
        <w:ind w:firstLine="420" w:firstLineChars="200"/>
        <w:rPr>
          <w:rFonts w:ascii="宋体" w:hAnsi="宋体"/>
          <w:sz w:val="21"/>
          <w:szCs w:val="21"/>
        </w:rPr>
      </w:pPr>
      <w:r>
        <w:rPr>
          <w:rFonts w:hint="eastAsia" w:ascii="宋体" w:hAnsi="宋体"/>
          <w:sz w:val="21"/>
          <w:szCs w:val="21"/>
        </w:rPr>
        <w:t xml:space="preserve">由于所提供的产品和服务不同，这些因素可能存在显著差异。 </w:t>
      </w:r>
    </w:p>
    <w:p w14:paraId="6FE1BFDB">
      <w:pPr>
        <w:widowControl/>
        <w:spacing w:line="400" w:lineRule="exact"/>
        <w:rPr>
          <w:rFonts w:ascii="宋体" w:hAnsi="宋体"/>
          <w:sz w:val="21"/>
          <w:szCs w:val="21"/>
        </w:rPr>
      </w:pPr>
      <w:r>
        <w:rPr>
          <w:rFonts w:hint="eastAsia" w:ascii="宋体" w:hAnsi="宋体"/>
          <w:sz w:val="21"/>
          <w:szCs w:val="21"/>
        </w:rPr>
        <w:t xml:space="preserve">7.1.5 监视和测量资源 </w:t>
      </w:r>
    </w:p>
    <w:p w14:paraId="7DA9441D">
      <w:pPr>
        <w:widowControl/>
        <w:spacing w:line="400" w:lineRule="exact"/>
        <w:rPr>
          <w:rFonts w:ascii="宋体" w:hAnsi="宋体"/>
          <w:sz w:val="21"/>
          <w:szCs w:val="21"/>
        </w:rPr>
      </w:pPr>
      <w:r>
        <w:rPr>
          <w:rFonts w:hint="eastAsia" w:ascii="宋体" w:hAnsi="宋体"/>
          <w:sz w:val="21"/>
          <w:szCs w:val="21"/>
        </w:rPr>
        <w:t xml:space="preserve">7.1.5.1 总则 </w:t>
      </w:r>
    </w:p>
    <w:p w14:paraId="323B7AAA">
      <w:pPr>
        <w:widowControl/>
        <w:spacing w:line="400" w:lineRule="exact"/>
        <w:ind w:firstLine="420" w:firstLineChars="200"/>
        <w:rPr>
          <w:rFonts w:ascii="宋体" w:hAnsi="宋体"/>
          <w:sz w:val="21"/>
          <w:szCs w:val="21"/>
        </w:rPr>
      </w:pPr>
      <w:r>
        <w:rPr>
          <w:rFonts w:hint="eastAsia" w:ascii="宋体" w:hAnsi="宋体"/>
          <w:sz w:val="21"/>
          <w:szCs w:val="21"/>
        </w:rPr>
        <w:t>公司制定并执行《监视和测量设备控制程序》，通过对监视和测量设备进行有效控制，使其处于良好状态，确保测量能力与测量要求相一致，确保结果有效和可靠。</w:t>
      </w:r>
    </w:p>
    <w:p w14:paraId="01849206">
      <w:pPr>
        <w:widowControl/>
        <w:spacing w:line="400" w:lineRule="exact"/>
        <w:ind w:firstLine="420" w:firstLineChars="200"/>
        <w:rPr>
          <w:rFonts w:ascii="宋体" w:hAnsi="宋体"/>
          <w:sz w:val="21"/>
          <w:szCs w:val="21"/>
        </w:rPr>
      </w:pPr>
      <w:r>
        <w:rPr>
          <w:rFonts w:hint="eastAsia" w:ascii="宋体" w:hAnsi="宋体"/>
          <w:sz w:val="21"/>
          <w:szCs w:val="21"/>
        </w:rPr>
        <w:t>研发部、质量管理部在对运行过程进行策划时，应确定所需的监视和测量设备适合所开展的监视和测量活动的特定类型；</w:t>
      </w:r>
      <w:r>
        <w:rPr>
          <w:rFonts w:hint="eastAsia"/>
          <w:sz w:val="21"/>
          <w:szCs w:val="21"/>
        </w:rPr>
        <w:t>得到维护，以确保持续适合其用</w:t>
      </w:r>
      <w:r>
        <w:rPr>
          <w:rFonts w:hint="eastAsia" w:ascii="宋体" w:hAnsi="宋体"/>
          <w:sz w:val="21"/>
          <w:szCs w:val="21"/>
        </w:rPr>
        <w:t xml:space="preserve">途；所包括的监视和测量设备的计量特性与监视和测量的要求相适应。 </w:t>
      </w:r>
    </w:p>
    <w:p w14:paraId="0B63F04D">
      <w:pPr>
        <w:widowControl/>
        <w:spacing w:line="400" w:lineRule="exact"/>
        <w:rPr>
          <w:rFonts w:ascii="宋体" w:hAnsi="宋体"/>
          <w:sz w:val="21"/>
          <w:szCs w:val="21"/>
        </w:rPr>
      </w:pPr>
      <w:r>
        <w:rPr>
          <w:rFonts w:hint="eastAsia" w:ascii="宋体" w:hAnsi="宋体"/>
          <w:sz w:val="21"/>
          <w:szCs w:val="21"/>
        </w:rPr>
        <w:t xml:space="preserve">7.1.5.2 测量溯源 </w:t>
      </w:r>
    </w:p>
    <w:p w14:paraId="4CE15769">
      <w:pPr>
        <w:widowControl/>
        <w:spacing w:line="400" w:lineRule="exact"/>
        <w:ind w:firstLine="420" w:firstLineChars="200"/>
        <w:rPr>
          <w:rFonts w:ascii="宋体" w:hAnsi="宋体"/>
          <w:sz w:val="21"/>
          <w:szCs w:val="21"/>
        </w:rPr>
      </w:pPr>
      <w:r>
        <w:rPr>
          <w:rFonts w:hint="eastAsia" w:ascii="宋体" w:hAnsi="宋体"/>
          <w:sz w:val="21"/>
          <w:szCs w:val="21"/>
        </w:rPr>
        <w:t xml:space="preserve">公司的测量设备应： </w:t>
      </w:r>
    </w:p>
    <w:p w14:paraId="214FB71A">
      <w:pPr>
        <w:widowControl/>
        <w:spacing w:line="400" w:lineRule="exact"/>
        <w:ind w:firstLine="420" w:firstLineChars="200"/>
        <w:rPr>
          <w:rFonts w:ascii="宋体" w:hAnsi="宋体"/>
          <w:sz w:val="21"/>
          <w:szCs w:val="21"/>
        </w:rPr>
      </w:pPr>
      <w:r>
        <w:rPr>
          <w:rFonts w:hint="eastAsia" w:ascii="宋体" w:hAnsi="宋体"/>
          <w:sz w:val="21"/>
          <w:szCs w:val="21"/>
        </w:rPr>
        <w:t xml:space="preserve">a)对照能溯源到国际或国家标准的测量标准，按照规定的时间间隔或在使用前进行校准和(或)检定，当不存在上述标准时，应保留作为校准或验证依据的成文信息； </w:t>
      </w:r>
    </w:p>
    <w:p w14:paraId="420709E2">
      <w:pPr>
        <w:widowControl/>
        <w:spacing w:line="400" w:lineRule="exact"/>
        <w:ind w:firstLine="420" w:firstLineChars="200"/>
        <w:rPr>
          <w:rFonts w:ascii="宋体" w:hAnsi="宋体"/>
          <w:sz w:val="21"/>
          <w:szCs w:val="21"/>
        </w:rPr>
      </w:pPr>
      <w:r>
        <w:rPr>
          <w:rFonts w:hint="eastAsia" w:ascii="宋体" w:hAnsi="宋体"/>
          <w:sz w:val="21"/>
          <w:szCs w:val="21"/>
        </w:rPr>
        <w:t xml:space="preserve">b)予以识别，以确定其状态； </w:t>
      </w:r>
    </w:p>
    <w:p w14:paraId="6953A5CB">
      <w:pPr>
        <w:widowControl/>
        <w:spacing w:line="400" w:lineRule="exact"/>
        <w:ind w:firstLine="420" w:firstLineChars="200"/>
        <w:rPr>
          <w:rFonts w:ascii="宋体" w:hAnsi="宋体"/>
          <w:sz w:val="21"/>
          <w:szCs w:val="21"/>
        </w:rPr>
      </w:pPr>
      <w:r>
        <w:rPr>
          <w:rFonts w:hint="eastAsia" w:ascii="宋体" w:hAnsi="宋体"/>
          <w:sz w:val="21"/>
          <w:szCs w:val="21"/>
        </w:rPr>
        <w:t xml:space="preserve">c)予以保护，防止由于调整、损坏或衰减所导致的校准状态和随后的测量结果的失效； </w:t>
      </w:r>
    </w:p>
    <w:p w14:paraId="10CCFCBE">
      <w:pPr>
        <w:widowControl/>
        <w:spacing w:line="400" w:lineRule="exact"/>
        <w:ind w:firstLine="420" w:firstLineChars="200"/>
        <w:rPr>
          <w:rFonts w:ascii="宋体" w:hAnsi="宋体"/>
          <w:sz w:val="21"/>
          <w:szCs w:val="21"/>
        </w:rPr>
      </w:pPr>
      <w:r>
        <w:rPr>
          <w:rFonts w:hint="eastAsia" w:ascii="宋体" w:hAnsi="宋体"/>
          <w:sz w:val="21"/>
          <w:szCs w:val="21"/>
        </w:rPr>
        <w:t>d)按照有关规定进行校准或检定合格，并保留记录。其中，用于监视和测量的计算机软件，初次使用前应经过验证和确认合格，需要时再次验证和确认合格，并保留记录；生产和检验共用的测量设备，用作检验前应加以校准或验证合格，并保留记录；对一次性使用的测量设备，使用前应进行校准或检定合格，并保留记录。</w:t>
      </w:r>
    </w:p>
    <w:p w14:paraId="15C3D248">
      <w:pPr>
        <w:widowControl/>
        <w:spacing w:line="400" w:lineRule="exact"/>
        <w:ind w:firstLine="420" w:firstLineChars="200"/>
        <w:rPr>
          <w:rFonts w:ascii="宋体" w:hAnsi="宋体"/>
          <w:sz w:val="21"/>
          <w:szCs w:val="21"/>
        </w:rPr>
      </w:pPr>
      <w:r>
        <w:rPr>
          <w:rFonts w:hint="eastAsia" w:ascii="宋体" w:hAnsi="宋体"/>
          <w:sz w:val="21"/>
          <w:szCs w:val="21"/>
        </w:rPr>
        <w:t>当发现测量设备不符合预期用途时，公司质量管理部应确定以往测量结果的有效性是否受到不利影响，必要时应采取适当的措施。</w:t>
      </w:r>
    </w:p>
    <w:p w14:paraId="7166F2BC">
      <w:pPr>
        <w:spacing w:line="400" w:lineRule="exact"/>
        <w:ind w:firstLine="420" w:firstLineChars="200"/>
        <w:rPr>
          <w:rFonts w:ascii="宋体" w:hAnsi="宋体"/>
        </w:rPr>
      </w:pPr>
      <w:r>
        <w:rPr>
          <w:rFonts w:hint="eastAsia" w:ascii="宋体" w:hAnsi="宋体"/>
          <w:sz w:val="21"/>
          <w:szCs w:val="21"/>
        </w:rPr>
        <w:t>质量管理部负责监视和测量设备工作的归口管理。</w:t>
      </w:r>
    </w:p>
    <w:p w14:paraId="27B3F01B">
      <w:pPr>
        <w:widowControl/>
        <w:spacing w:line="400" w:lineRule="exact"/>
        <w:rPr>
          <w:rFonts w:ascii="宋体" w:hAnsi="宋体"/>
          <w:sz w:val="21"/>
          <w:szCs w:val="21"/>
        </w:rPr>
      </w:pPr>
      <w:r>
        <w:rPr>
          <w:rFonts w:hint="eastAsia" w:ascii="宋体" w:hAnsi="宋体"/>
          <w:sz w:val="21"/>
          <w:szCs w:val="21"/>
        </w:rPr>
        <w:t xml:space="preserve">7.1.6 组织的知识 </w:t>
      </w:r>
    </w:p>
    <w:p w14:paraId="645B6C4A">
      <w:pPr>
        <w:widowControl/>
        <w:spacing w:line="400" w:lineRule="exact"/>
        <w:ind w:firstLine="525" w:firstLineChars="250"/>
        <w:rPr>
          <w:rFonts w:ascii="宋体" w:hAnsi="宋体"/>
          <w:sz w:val="21"/>
          <w:szCs w:val="21"/>
        </w:rPr>
      </w:pPr>
      <w:r>
        <w:rPr>
          <w:rFonts w:hint="eastAsia" w:ascii="宋体" w:hAnsi="宋体"/>
          <w:sz w:val="21"/>
          <w:szCs w:val="21"/>
        </w:rPr>
        <w:t>公司应确定必要的知识，以运行过程，并获得合格产品和服务。基于内部来源的知识：主要有知识产权、从经验获得的知识、从失败和成功项目汲取的经验和教训、获取和分享未成文的知识和经验，以及过程、产品和服务的改进结果。基于外部来源的知识：主要有标准、学术交流、专业会议、从顾客或外部供方收集的知识。</w:t>
      </w:r>
    </w:p>
    <w:p w14:paraId="271D644A">
      <w:pPr>
        <w:spacing w:line="400" w:lineRule="exact"/>
        <w:ind w:firstLine="420"/>
        <w:rPr>
          <w:rFonts w:ascii="宋体" w:hAnsi="宋体"/>
          <w:sz w:val="21"/>
          <w:szCs w:val="21"/>
        </w:rPr>
      </w:pPr>
      <w:r>
        <w:rPr>
          <w:rFonts w:hint="eastAsia" w:ascii="宋体" w:hAnsi="宋体"/>
          <w:sz w:val="21"/>
          <w:szCs w:val="21"/>
        </w:rPr>
        <w:t>公司</w:t>
      </w:r>
      <w:r>
        <w:rPr>
          <w:rFonts w:ascii="宋体" w:hAnsi="宋体"/>
          <w:sz w:val="21"/>
          <w:szCs w:val="21"/>
        </w:rPr>
        <w:t>应</w:t>
      </w:r>
      <w:r>
        <w:rPr>
          <w:rFonts w:hint="eastAsia" w:ascii="宋体" w:hAnsi="宋体"/>
          <w:sz w:val="21"/>
          <w:szCs w:val="21"/>
        </w:rPr>
        <w:t>建立组织过程资产库，予以</w:t>
      </w:r>
      <w:r>
        <w:rPr>
          <w:rFonts w:ascii="宋体" w:hAnsi="宋体"/>
          <w:sz w:val="21"/>
          <w:szCs w:val="21"/>
        </w:rPr>
        <w:t>应用、保持并适时更新</w:t>
      </w:r>
      <w:r>
        <w:rPr>
          <w:rFonts w:hint="eastAsia" w:ascii="宋体" w:hAnsi="宋体"/>
          <w:sz w:val="21"/>
          <w:szCs w:val="21"/>
        </w:rPr>
        <w:t>。</w:t>
      </w:r>
      <w:r>
        <w:rPr>
          <w:rFonts w:ascii="宋体" w:hAnsi="宋体"/>
          <w:sz w:val="21"/>
          <w:szCs w:val="21"/>
        </w:rPr>
        <w:t>组织</w:t>
      </w:r>
      <w:r>
        <w:rPr>
          <w:rFonts w:hint="eastAsia" w:ascii="宋体" w:hAnsi="宋体"/>
          <w:sz w:val="21"/>
          <w:szCs w:val="21"/>
        </w:rPr>
        <w:t>过程</w:t>
      </w:r>
      <w:r>
        <w:rPr>
          <w:rFonts w:ascii="宋体" w:hAnsi="宋体"/>
          <w:sz w:val="21"/>
          <w:szCs w:val="21"/>
        </w:rPr>
        <w:t>资产库</w:t>
      </w:r>
      <w:r>
        <w:rPr>
          <w:rFonts w:hint="eastAsia" w:ascii="宋体" w:hAnsi="宋体"/>
          <w:sz w:val="21"/>
          <w:szCs w:val="21"/>
        </w:rPr>
        <w:t>包括但不限于以下内容：</w:t>
      </w:r>
    </w:p>
    <w:p w14:paraId="4A8B0979">
      <w:pPr>
        <w:numPr>
          <w:ilvl w:val="0"/>
          <w:numId w:val="1"/>
        </w:numPr>
        <w:spacing w:line="400" w:lineRule="exact"/>
        <w:rPr>
          <w:rFonts w:ascii="宋体" w:hAnsi="宋体"/>
          <w:sz w:val="21"/>
          <w:szCs w:val="21"/>
        </w:rPr>
      </w:pPr>
      <w:r>
        <w:rPr>
          <w:rFonts w:ascii="宋体" w:hAnsi="宋体"/>
          <w:sz w:val="21"/>
          <w:szCs w:val="21"/>
        </w:rPr>
        <w:t>公司质量方针、战略目标、宗旨等有关内容；</w:t>
      </w:r>
    </w:p>
    <w:p w14:paraId="67128E55">
      <w:pPr>
        <w:numPr>
          <w:ilvl w:val="0"/>
          <w:numId w:val="1"/>
        </w:numPr>
        <w:spacing w:line="400" w:lineRule="exact"/>
        <w:rPr>
          <w:rFonts w:ascii="宋体" w:hAnsi="宋体"/>
          <w:sz w:val="21"/>
          <w:szCs w:val="21"/>
        </w:rPr>
      </w:pPr>
      <w:r>
        <w:rPr>
          <w:rFonts w:ascii="宋体" w:hAnsi="宋体"/>
          <w:sz w:val="21"/>
          <w:szCs w:val="21"/>
        </w:rPr>
        <w:t>已定义过程的描述（含程序文件）；</w:t>
      </w:r>
    </w:p>
    <w:p w14:paraId="1B19DDF9">
      <w:pPr>
        <w:numPr>
          <w:ilvl w:val="0"/>
          <w:numId w:val="1"/>
        </w:numPr>
        <w:spacing w:line="400" w:lineRule="exact"/>
        <w:rPr>
          <w:rFonts w:ascii="宋体" w:hAnsi="宋体"/>
          <w:sz w:val="21"/>
          <w:szCs w:val="21"/>
        </w:rPr>
      </w:pPr>
      <w:r>
        <w:rPr>
          <w:rFonts w:ascii="宋体" w:hAnsi="宋体"/>
          <w:sz w:val="21"/>
          <w:szCs w:val="21"/>
        </w:rPr>
        <w:t>规程</w:t>
      </w:r>
      <w:r>
        <w:rPr>
          <w:rFonts w:hint="eastAsia" w:ascii="宋体" w:hAnsi="宋体"/>
          <w:sz w:val="21"/>
          <w:szCs w:val="21"/>
        </w:rPr>
        <w:t>（含制度</w:t>
      </w:r>
      <w:r>
        <w:rPr>
          <w:rFonts w:ascii="宋体" w:hAnsi="宋体"/>
          <w:sz w:val="21"/>
          <w:szCs w:val="21"/>
        </w:rPr>
        <w:t>、指南等</w:t>
      </w:r>
      <w:r>
        <w:rPr>
          <w:rFonts w:hint="eastAsia" w:ascii="宋体" w:hAnsi="宋体"/>
          <w:sz w:val="21"/>
          <w:szCs w:val="21"/>
        </w:rPr>
        <w:t>）；</w:t>
      </w:r>
    </w:p>
    <w:p w14:paraId="09CD5BC4">
      <w:pPr>
        <w:numPr>
          <w:ilvl w:val="0"/>
          <w:numId w:val="1"/>
        </w:numPr>
        <w:spacing w:line="400" w:lineRule="exact"/>
        <w:rPr>
          <w:rFonts w:ascii="宋体" w:hAnsi="宋体"/>
          <w:sz w:val="21"/>
          <w:szCs w:val="21"/>
        </w:rPr>
      </w:pPr>
      <w:r>
        <w:rPr>
          <w:rFonts w:ascii="宋体" w:hAnsi="宋体"/>
          <w:sz w:val="21"/>
          <w:szCs w:val="21"/>
        </w:rPr>
        <w:t>开发计划</w:t>
      </w:r>
      <w:r>
        <w:rPr>
          <w:rFonts w:hint="eastAsia" w:ascii="宋体" w:hAnsi="宋体"/>
          <w:sz w:val="21"/>
          <w:szCs w:val="21"/>
        </w:rPr>
        <w:t>、</w:t>
      </w:r>
      <w:r>
        <w:rPr>
          <w:rFonts w:ascii="宋体" w:hAnsi="宋体"/>
          <w:sz w:val="21"/>
          <w:szCs w:val="21"/>
        </w:rPr>
        <w:t>质量保证计划</w:t>
      </w:r>
      <w:r>
        <w:rPr>
          <w:rFonts w:hint="eastAsia" w:ascii="宋体" w:hAnsi="宋体"/>
          <w:sz w:val="21"/>
          <w:szCs w:val="21"/>
        </w:rPr>
        <w:t>等</w:t>
      </w:r>
      <w:r>
        <w:rPr>
          <w:rFonts w:ascii="宋体" w:hAnsi="宋体"/>
          <w:sz w:val="21"/>
          <w:szCs w:val="21"/>
        </w:rPr>
        <w:t>；</w:t>
      </w:r>
    </w:p>
    <w:p w14:paraId="1DD7660C">
      <w:pPr>
        <w:numPr>
          <w:ilvl w:val="0"/>
          <w:numId w:val="1"/>
        </w:numPr>
        <w:spacing w:line="400" w:lineRule="exact"/>
        <w:rPr>
          <w:rFonts w:ascii="宋体" w:hAnsi="宋体"/>
          <w:sz w:val="21"/>
          <w:szCs w:val="21"/>
        </w:rPr>
      </w:pPr>
      <w:r>
        <w:rPr>
          <w:rFonts w:hint="eastAsia" w:ascii="宋体" w:hAnsi="宋体"/>
          <w:sz w:val="21"/>
          <w:szCs w:val="21"/>
        </w:rPr>
        <w:t>测量</w:t>
      </w:r>
      <w:r>
        <w:rPr>
          <w:rFonts w:ascii="宋体" w:hAnsi="宋体"/>
          <w:sz w:val="21"/>
          <w:szCs w:val="21"/>
        </w:rPr>
        <w:t>与分析的数据及其</w:t>
      </w:r>
      <w:r>
        <w:rPr>
          <w:rFonts w:hint="eastAsia" w:ascii="宋体" w:hAnsi="宋体"/>
          <w:sz w:val="21"/>
          <w:szCs w:val="21"/>
        </w:rPr>
        <w:t>结果；</w:t>
      </w:r>
    </w:p>
    <w:p w14:paraId="4D87244C">
      <w:pPr>
        <w:numPr>
          <w:ilvl w:val="0"/>
          <w:numId w:val="1"/>
        </w:numPr>
        <w:spacing w:line="400" w:lineRule="exact"/>
        <w:rPr>
          <w:rFonts w:ascii="宋体" w:hAnsi="宋体"/>
          <w:sz w:val="21"/>
          <w:szCs w:val="21"/>
        </w:rPr>
      </w:pPr>
      <w:r>
        <w:rPr>
          <w:rFonts w:ascii="宋体" w:hAnsi="宋体"/>
          <w:sz w:val="21"/>
          <w:szCs w:val="21"/>
        </w:rPr>
        <w:t>培训材料；</w:t>
      </w:r>
    </w:p>
    <w:p w14:paraId="5B1396D4">
      <w:pPr>
        <w:numPr>
          <w:ilvl w:val="0"/>
          <w:numId w:val="1"/>
        </w:numPr>
        <w:spacing w:line="400" w:lineRule="exact"/>
        <w:rPr>
          <w:rFonts w:ascii="宋体" w:hAnsi="宋体"/>
          <w:sz w:val="21"/>
          <w:szCs w:val="21"/>
        </w:rPr>
      </w:pPr>
      <w:r>
        <w:rPr>
          <w:rFonts w:ascii="宋体" w:hAnsi="宋体"/>
          <w:sz w:val="21"/>
          <w:szCs w:val="21"/>
        </w:rPr>
        <w:t>过程辅助材料（如检查表等）；</w:t>
      </w:r>
    </w:p>
    <w:p w14:paraId="049F13FF">
      <w:pPr>
        <w:numPr>
          <w:ilvl w:val="0"/>
          <w:numId w:val="1"/>
        </w:numPr>
        <w:spacing w:line="400" w:lineRule="exact"/>
        <w:rPr>
          <w:rFonts w:ascii="宋体" w:hAnsi="宋体"/>
          <w:sz w:val="21"/>
          <w:szCs w:val="21"/>
        </w:rPr>
      </w:pPr>
      <w:r>
        <w:rPr>
          <w:rFonts w:hint="eastAsia" w:ascii="宋体" w:hAnsi="宋体"/>
          <w:sz w:val="21"/>
          <w:szCs w:val="21"/>
        </w:rPr>
        <w:t>软件或工具（</w:t>
      </w:r>
      <w:r>
        <w:rPr>
          <w:rFonts w:ascii="宋体" w:hAnsi="宋体"/>
          <w:sz w:val="21"/>
          <w:szCs w:val="21"/>
        </w:rPr>
        <w:t>即各类</w:t>
      </w:r>
      <w:r>
        <w:rPr>
          <w:rFonts w:hint="eastAsia" w:ascii="宋体" w:hAnsi="宋体"/>
          <w:sz w:val="21"/>
          <w:szCs w:val="21"/>
        </w:rPr>
        <w:t>研制</w:t>
      </w:r>
      <w:r>
        <w:rPr>
          <w:rFonts w:ascii="宋体" w:hAnsi="宋体"/>
          <w:sz w:val="21"/>
          <w:szCs w:val="21"/>
        </w:rPr>
        <w:t>生产过程</w:t>
      </w:r>
      <w:r>
        <w:rPr>
          <w:rFonts w:hint="eastAsia" w:ascii="宋体" w:hAnsi="宋体"/>
          <w:sz w:val="21"/>
          <w:szCs w:val="21"/>
        </w:rPr>
        <w:t>产生或</w:t>
      </w:r>
      <w:r>
        <w:rPr>
          <w:rFonts w:ascii="宋体" w:hAnsi="宋体"/>
          <w:sz w:val="21"/>
          <w:szCs w:val="21"/>
        </w:rPr>
        <w:t>使用的软件</w:t>
      </w:r>
      <w:r>
        <w:rPr>
          <w:rFonts w:hint="eastAsia" w:ascii="宋体" w:hAnsi="宋体"/>
          <w:sz w:val="21"/>
          <w:szCs w:val="21"/>
        </w:rPr>
        <w:t>/工具及</w:t>
      </w:r>
      <w:r>
        <w:rPr>
          <w:rFonts w:ascii="宋体" w:hAnsi="宋体"/>
          <w:sz w:val="21"/>
          <w:szCs w:val="21"/>
        </w:rPr>
        <w:t>日常办公所需软件</w:t>
      </w:r>
      <w:r>
        <w:rPr>
          <w:rFonts w:hint="eastAsia" w:ascii="宋体" w:hAnsi="宋体"/>
          <w:sz w:val="21"/>
          <w:szCs w:val="21"/>
        </w:rPr>
        <w:t>/</w:t>
      </w:r>
      <w:r>
        <w:rPr>
          <w:rFonts w:ascii="宋体" w:hAnsi="宋体"/>
          <w:sz w:val="21"/>
          <w:szCs w:val="21"/>
        </w:rPr>
        <w:t>工具的安装包）</w:t>
      </w:r>
      <w:r>
        <w:rPr>
          <w:rFonts w:hint="eastAsia" w:ascii="宋体" w:hAnsi="宋体"/>
          <w:sz w:val="21"/>
          <w:szCs w:val="21"/>
        </w:rPr>
        <w:t>；</w:t>
      </w:r>
    </w:p>
    <w:p w14:paraId="1353DB62">
      <w:pPr>
        <w:numPr>
          <w:ilvl w:val="0"/>
          <w:numId w:val="1"/>
        </w:numPr>
        <w:spacing w:line="400" w:lineRule="exact"/>
        <w:rPr>
          <w:rFonts w:ascii="宋体" w:hAnsi="宋体"/>
          <w:sz w:val="21"/>
          <w:szCs w:val="21"/>
        </w:rPr>
      </w:pPr>
      <w:r>
        <w:rPr>
          <w:rFonts w:ascii="宋体" w:hAnsi="宋体"/>
          <w:sz w:val="21"/>
          <w:szCs w:val="21"/>
        </w:rPr>
        <w:t>经验教训报告（包括</w:t>
      </w:r>
      <w:r>
        <w:rPr>
          <w:rFonts w:hint="eastAsia" w:ascii="宋体" w:hAnsi="宋体"/>
          <w:sz w:val="21"/>
          <w:szCs w:val="21"/>
        </w:rPr>
        <w:t>公司从知识产权、经验获得的知识、从失败和成功项目汲取的经验教训、未成文的知识和经验、过程、产品和服务改进结果以及从标准、学术交流、专业会议、顾客或外部供方收集的知识</w:t>
      </w:r>
      <w:r>
        <w:rPr>
          <w:rFonts w:ascii="宋体" w:hAnsi="宋体"/>
          <w:sz w:val="21"/>
          <w:szCs w:val="21"/>
        </w:rPr>
        <w:t>）</w:t>
      </w:r>
      <w:r>
        <w:rPr>
          <w:rFonts w:hint="eastAsia" w:ascii="宋体" w:hAnsi="宋体"/>
          <w:sz w:val="21"/>
          <w:szCs w:val="21"/>
        </w:rPr>
        <w:t>。</w:t>
      </w:r>
    </w:p>
    <w:p w14:paraId="7C8AEA88">
      <w:pPr>
        <w:spacing w:line="400" w:lineRule="exact"/>
        <w:ind w:firstLine="420" w:firstLineChars="200"/>
        <w:rPr>
          <w:rFonts w:ascii="宋体" w:hAnsi="宋体"/>
          <w:sz w:val="21"/>
          <w:szCs w:val="21"/>
        </w:rPr>
      </w:pPr>
      <w:r>
        <w:rPr>
          <w:rFonts w:hint="eastAsia" w:ascii="宋体" w:hAnsi="宋体"/>
          <w:sz w:val="21"/>
          <w:szCs w:val="21"/>
        </w:rPr>
        <w:t>公司过程资产库由研发部负责管理及维护，同时采取奖金、口头表扬等方式鼓励员工积极主动更新、增加、运用资产库内容。研发部每年进行一次审视、整理现有资产库内容，为应对不断变化的需求和发展趋势确定如何获取或接触更多必要的知识和知识更新。</w:t>
      </w:r>
    </w:p>
    <w:p w14:paraId="4CCFBF8D">
      <w:pPr>
        <w:spacing w:line="400" w:lineRule="exact"/>
        <w:ind w:firstLine="420" w:firstLineChars="200"/>
        <w:rPr>
          <w:rFonts w:ascii="宋体" w:hAnsi="宋体"/>
          <w:sz w:val="21"/>
          <w:szCs w:val="21"/>
        </w:rPr>
      </w:pPr>
      <w:r>
        <w:rPr>
          <w:rFonts w:hint="eastAsia" w:ascii="宋体" w:hAnsi="宋体"/>
          <w:sz w:val="21"/>
          <w:szCs w:val="21"/>
        </w:rPr>
        <w:t>有</w:t>
      </w:r>
      <w:r>
        <w:rPr>
          <w:rFonts w:ascii="宋体" w:hAnsi="宋体"/>
          <w:sz w:val="21"/>
          <w:szCs w:val="21"/>
        </w:rPr>
        <w:t>条件</w:t>
      </w:r>
      <w:r>
        <w:rPr>
          <w:rFonts w:hint="eastAsia" w:ascii="宋体" w:hAnsi="宋体"/>
          <w:sz w:val="21"/>
          <w:szCs w:val="21"/>
        </w:rPr>
        <w:t>时，公司</w:t>
      </w:r>
      <w:r>
        <w:rPr>
          <w:rFonts w:ascii="宋体" w:hAnsi="宋体"/>
          <w:sz w:val="21"/>
          <w:szCs w:val="21"/>
        </w:rPr>
        <w:t>应通过微信公众号</w:t>
      </w:r>
      <w:r>
        <w:rPr>
          <w:rFonts w:hint="eastAsia" w:ascii="宋体" w:hAnsi="宋体"/>
          <w:sz w:val="21"/>
          <w:szCs w:val="21"/>
        </w:rPr>
        <w:t>推送、</w:t>
      </w:r>
      <w:r>
        <w:rPr>
          <w:rFonts w:ascii="宋体" w:hAnsi="宋体"/>
          <w:sz w:val="21"/>
          <w:szCs w:val="21"/>
        </w:rPr>
        <w:t>网页</w:t>
      </w:r>
      <w:r>
        <w:rPr>
          <w:rFonts w:hint="eastAsia" w:ascii="宋体" w:hAnsi="宋体"/>
          <w:sz w:val="21"/>
          <w:szCs w:val="21"/>
        </w:rPr>
        <w:t>展示、</w:t>
      </w:r>
      <w:r>
        <w:rPr>
          <w:rFonts w:ascii="宋体" w:hAnsi="宋体"/>
          <w:sz w:val="21"/>
          <w:szCs w:val="21"/>
        </w:rPr>
        <w:t>网上培训等多种知识推送方式，让公司员工及时获取</w:t>
      </w:r>
      <w:r>
        <w:rPr>
          <w:rFonts w:hint="eastAsia" w:ascii="宋体" w:hAnsi="宋体"/>
          <w:sz w:val="21"/>
          <w:szCs w:val="21"/>
        </w:rPr>
        <w:t>公司</w:t>
      </w:r>
      <w:r>
        <w:rPr>
          <w:rFonts w:ascii="宋体" w:hAnsi="宋体"/>
          <w:sz w:val="21"/>
          <w:szCs w:val="21"/>
        </w:rPr>
        <w:t>战略等相关知识信息，让知识</w:t>
      </w:r>
      <w:r>
        <w:rPr>
          <w:rFonts w:hint="eastAsia" w:ascii="宋体" w:hAnsi="宋体"/>
          <w:sz w:val="21"/>
          <w:szCs w:val="21"/>
        </w:rPr>
        <w:t>创造</w:t>
      </w:r>
      <w:r>
        <w:rPr>
          <w:rFonts w:ascii="宋体" w:hAnsi="宋体"/>
          <w:sz w:val="21"/>
          <w:szCs w:val="21"/>
        </w:rPr>
        <w:t>价值。</w:t>
      </w:r>
      <w:r>
        <w:rPr>
          <w:rFonts w:hint="eastAsia" w:ascii="宋体" w:hAnsi="宋体"/>
          <w:sz w:val="21"/>
          <w:szCs w:val="21"/>
        </w:rPr>
        <w:t xml:space="preserve"> </w:t>
      </w:r>
    </w:p>
    <w:p w14:paraId="27785102">
      <w:pPr>
        <w:spacing w:line="400" w:lineRule="exact"/>
        <w:ind w:firstLine="420" w:firstLineChars="200"/>
        <w:rPr>
          <w:rFonts w:ascii="宋体" w:hAnsi="宋体"/>
          <w:sz w:val="21"/>
          <w:szCs w:val="21"/>
        </w:rPr>
      </w:pPr>
      <w:r>
        <w:rPr>
          <w:rFonts w:hint="eastAsia" w:ascii="宋体" w:hAnsi="宋体"/>
          <w:sz w:val="21"/>
          <w:szCs w:val="21"/>
        </w:rPr>
        <w:t xml:space="preserve">研发部、质量管理部等相关部门应收集与产品和服务质量相关的法律法规、标准、文件作为必备知识，向公司有关人员予以发布应用、保持并适时更新。 </w:t>
      </w:r>
    </w:p>
    <w:p w14:paraId="486BB3A3">
      <w:pPr>
        <w:pStyle w:val="3"/>
        <w:spacing w:before="120" w:beforeLines="50" w:after="120" w:afterLines="50" w:line="400" w:lineRule="exact"/>
        <w:rPr>
          <w:rFonts w:ascii="宋体" w:hAnsi="宋体" w:eastAsia="宋体"/>
          <w:sz w:val="21"/>
          <w:szCs w:val="21"/>
        </w:rPr>
      </w:pPr>
      <w:bookmarkStart w:id="80" w:name="_Toc509844120"/>
      <w:bookmarkStart w:id="81" w:name="_Toc521509454"/>
      <w:bookmarkStart w:id="82" w:name="_Toc509844810"/>
      <w:bookmarkStart w:id="83" w:name="_Toc509845142"/>
      <w:r>
        <w:rPr>
          <w:rFonts w:hint="eastAsia" w:ascii="宋体" w:hAnsi="宋体" w:eastAsia="宋体"/>
          <w:sz w:val="24"/>
          <w:szCs w:val="24"/>
        </w:rPr>
        <w:t>7.2 能力</w:t>
      </w:r>
      <w:bookmarkEnd w:id="80"/>
      <w:bookmarkEnd w:id="81"/>
      <w:bookmarkEnd w:id="82"/>
      <w:bookmarkEnd w:id="83"/>
      <w:r>
        <w:rPr>
          <w:rFonts w:hint="eastAsia" w:ascii="宋体" w:hAnsi="宋体" w:eastAsia="宋体"/>
          <w:sz w:val="21"/>
          <w:szCs w:val="21"/>
        </w:rPr>
        <w:t xml:space="preserve"> </w:t>
      </w:r>
    </w:p>
    <w:p w14:paraId="63FB9AF2">
      <w:pPr>
        <w:widowControl/>
        <w:spacing w:line="400" w:lineRule="exact"/>
        <w:ind w:firstLine="420" w:firstLineChars="200"/>
        <w:rPr>
          <w:rFonts w:ascii="宋体" w:hAnsi="宋体"/>
          <w:sz w:val="21"/>
          <w:szCs w:val="21"/>
        </w:rPr>
      </w:pPr>
      <w:r>
        <w:rPr>
          <w:rFonts w:hint="eastAsia" w:ascii="宋体" w:hAnsi="宋体"/>
          <w:sz w:val="21"/>
          <w:szCs w:val="21"/>
        </w:rPr>
        <w:t>综合行政部按照《HY-CX-01-2022</w:t>
      </w:r>
      <w:r>
        <w:rPr>
          <w:rFonts w:ascii="宋体" w:hAnsi="宋体"/>
          <w:sz w:val="21"/>
          <w:szCs w:val="21"/>
        </w:rPr>
        <w:t>人力资源管理程序</w:t>
      </w:r>
      <w:r>
        <w:rPr>
          <w:rFonts w:hint="eastAsia" w:ascii="宋体" w:hAnsi="宋体"/>
          <w:sz w:val="21"/>
          <w:szCs w:val="21"/>
        </w:rPr>
        <w:t>》的要求</w:t>
      </w:r>
      <w:r>
        <w:rPr>
          <w:rFonts w:ascii="宋体" w:hAnsi="宋体"/>
          <w:sz w:val="21"/>
          <w:szCs w:val="21"/>
        </w:rPr>
        <w:t>，进行以下</w:t>
      </w:r>
      <w:r>
        <w:rPr>
          <w:rFonts w:hint="eastAsia" w:ascii="宋体" w:hAnsi="宋体"/>
          <w:sz w:val="21"/>
          <w:szCs w:val="21"/>
        </w:rPr>
        <w:t>管理</w:t>
      </w:r>
      <w:r>
        <w:rPr>
          <w:rFonts w:ascii="宋体" w:hAnsi="宋体"/>
          <w:sz w:val="21"/>
          <w:szCs w:val="21"/>
        </w:rPr>
        <w:t>：</w:t>
      </w:r>
      <w:r>
        <w:rPr>
          <w:rFonts w:hint="eastAsia" w:ascii="宋体" w:hAnsi="宋体"/>
          <w:sz w:val="21"/>
          <w:szCs w:val="21"/>
        </w:rPr>
        <w:t xml:space="preserve"> </w:t>
      </w:r>
    </w:p>
    <w:p w14:paraId="21742005">
      <w:pPr>
        <w:widowControl/>
        <w:spacing w:line="400" w:lineRule="exact"/>
        <w:ind w:firstLine="420" w:firstLineChars="200"/>
        <w:rPr>
          <w:rFonts w:ascii="宋体" w:hAnsi="宋体"/>
          <w:sz w:val="21"/>
          <w:szCs w:val="21"/>
        </w:rPr>
      </w:pPr>
      <w:r>
        <w:rPr>
          <w:rFonts w:hint="eastAsia" w:ascii="宋体" w:hAnsi="宋体"/>
          <w:sz w:val="21"/>
          <w:szCs w:val="21"/>
        </w:rPr>
        <w:t xml:space="preserve">a)确定在公司控制下工作的人员所需具备的能力，这些人员从事的工作影响质量管理体系绩效和有效性，通过岗位职责的形式予以明确； </w:t>
      </w:r>
    </w:p>
    <w:p w14:paraId="63691298">
      <w:pPr>
        <w:widowControl/>
        <w:spacing w:line="400" w:lineRule="exact"/>
        <w:ind w:firstLine="420" w:firstLineChars="200"/>
        <w:rPr>
          <w:rFonts w:ascii="宋体" w:hAnsi="宋体"/>
          <w:sz w:val="21"/>
          <w:szCs w:val="21"/>
        </w:rPr>
      </w:pPr>
      <w:r>
        <w:rPr>
          <w:rFonts w:hint="eastAsia" w:ascii="宋体" w:hAnsi="宋体"/>
          <w:sz w:val="21"/>
          <w:szCs w:val="21"/>
        </w:rPr>
        <w:t xml:space="preserve">b)基于适当的教育、培训或经验，确保这些人员是胜任的； </w:t>
      </w:r>
    </w:p>
    <w:p w14:paraId="6622DF35">
      <w:pPr>
        <w:widowControl/>
        <w:spacing w:line="400" w:lineRule="exact"/>
        <w:ind w:firstLine="420" w:firstLineChars="200"/>
        <w:rPr>
          <w:rFonts w:ascii="宋体" w:hAnsi="宋体"/>
          <w:sz w:val="21"/>
          <w:szCs w:val="21"/>
        </w:rPr>
      </w:pPr>
      <w:r>
        <w:rPr>
          <w:rFonts w:hint="eastAsia" w:ascii="宋体" w:hAnsi="宋体"/>
          <w:sz w:val="21"/>
          <w:szCs w:val="21"/>
        </w:rPr>
        <w:t>c)适用时，采取措施</w:t>
      </w:r>
      <w:r>
        <w:rPr>
          <w:rFonts w:ascii="宋体" w:hAnsi="宋体"/>
          <w:sz w:val="21"/>
          <w:szCs w:val="21"/>
        </w:rPr>
        <w:t>包括对在职人员进行培</w:t>
      </w:r>
      <w:r>
        <w:rPr>
          <w:rFonts w:hint="eastAsia" w:ascii="宋体" w:hAnsi="宋体"/>
          <w:sz w:val="21"/>
          <w:szCs w:val="21"/>
        </w:rPr>
        <w:t>训</w:t>
      </w:r>
      <w:r>
        <w:rPr>
          <w:rFonts w:ascii="宋体" w:hAnsi="宋体"/>
          <w:sz w:val="21"/>
          <w:szCs w:val="21"/>
        </w:rPr>
        <w:t>、辅导或重新分配工作，或者招聘具备能力的人员</w:t>
      </w:r>
      <w:r>
        <w:rPr>
          <w:rFonts w:hint="eastAsia" w:ascii="宋体" w:hAnsi="宋体"/>
          <w:sz w:val="21"/>
          <w:szCs w:val="21"/>
        </w:rPr>
        <w:t xml:space="preserve">以获得所需的能力，并评价措施的有效性； </w:t>
      </w:r>
    </w:p>
    <w:p w14:paraId="4B374768">
      <w:pPr>
        <w:widowControl/>
        <w:spacing w:line="400" w:lineRule="exact"/>
        <w:ind w:firstLine="420" w:firstLineChars="200"/>
        <w:rPr>
          <w:rFonts w:ascii="宋体" w:hAnsi="宋体"/>
          <w:sz w:val="21"/>
          <w:szCs w:val="21"/>
        </w:rPr>
      </w:pPr>
      <w:r>
        <w:rPr>
          <w:rFonts w:hint="eastAsia" w:ascii="宋体" w:hAnsi="宋体"/>
          <w:sz w:val="21"/>
          <w:szCs w:val="21"/>
        </w:rPr>
        <w:t xml:space="preserve">d)保留适当的成文信息，作为人员能力的证据； </w:t>
      </w:r>
    </w:p>
    <w:p w14:paraId="4BFA2913">
      <w:pPr>
        <w:widowControl/>
        <w:spacing w:line="400" w:lineRule="exact"/>
        <w:ind w:firstLine="420" w:firstLineChars="200"/>
        <w:rPr>
          <w:rFonts w:ascii="宋体" w:hAnsi="宋体"/>
          <w:sz w:val="21"/>
          <w:szCs w:val="21"/>
        </w:rPr>
      </w:pPr>
      <w:r>
        <w:rPr>
          <w:rFonts w:hint="eastAsia" w:ascii="宋体" w:hAnsi="宋体"/>
          <w:sz w:val="21"/>
          <w:szCs w:val="21"/>
        </w:rPr>
        <w:t xml:space="preserve">e)对最高管理者(层)以及其他所有对产品和服务质量有影响的人员，每两年进行有关质量知识和岗位技能的培训、考核，并按规定要求持证上岗。 </w:t>
      </w:r>
    </w:p>
    <w:p w14:paraId="48E1FB34">
      <w:pPr>
        <w:widowControl/>
        <w:spacing w:line="400" w:lineRule="exact"/>
        <w:ind w:firstLine="200"/>
        <w:rPr>
          <w:rFonts w:ascii="宋体" w:hAnsi="宋体"/>
          <w:sz w:val="21"/>
          <w:szCs w:val="21"/>
        </w:rPr>
      </w:pPr>
    </w:p>
    <w:p w14:paraId="598E255D">
      <w:pPr>
        <w:pStyle w:val="3"/>
        <w:spacing w:before="120" w:beforeLines="50" w:after="120" w:afterLines="50" w:line="400" w:lineRule="exact"/>
        <w:rPr>
          <w:rFonts w:ascii="宋体" w:hAnsi="宋体" w:eastAsia="宋体"/>
          <w:sz w:val="21"/>
          <w:szCs w:val="21"/>
        </w:rPr>
      </w:pPr>
      <w:bookmarkStart w:id="84" w:name="_Toc509844121"/>
      <w:bookmarkStart w:id="85" w:name="_Toc521509455"/>
      <w:bookmarkStart w:id="86" w:name="_Toc509845143"/>
      <w:bookmarkStart w:id="87" w:name="_Toc509844811"/>
      <w:r>
        <w:rPr>
          <w:rFonts w:hint="eastAsia" w:ascii="宋体" w:hAnsi="宋体" w:eastAsia="宋体"/>
          <w:sz w:val="24"/>
          <w:szCs w:val="24"/>
        </w:rPr>
        <w:t>7.3 意识</w:t>
      </w:r>
      <w:bookmarkEnd w:id="84"/>
      <w:bookmarkEnd w:id="85"/>
      <w:bookmarkEnd w:id="86"/>
      <w:bookmarkEnd w:id="87"/>
      <w:r>
        <w:rPr>
          <w:rFonts w:hint="eastAsia" w:ascii="宋体" w:hAnsi="宋体" w:eastAsia="宋体"/>
          <w:sz w:val="21"/>
          <w:szCs w:val="21"/>
        </w:rPr>
        <w:t xml:space="preserve"> </w:t>
      </w:r>
    </w:p>
    <w:p w14:paraId="6E4A7075">
      <w:pPr>
        <w:widowControl/>
        <w:spacing w:line="400" w:lineRule="exact"/>
        <w:ind w:firstLine="420" w:firstLineChars="200"/>
        <w:rPr>
          <w:rFonts w:ascii="宋体" w:hAnsi="宋体"/>
          <w:sz w:val="21"/>
          <w:szCs w:val="21"/>
        </w:rPr>
      </w:pPr>
      <w:r>
        <w:rPr>
          <w:rFonts w:ascii="宋体" w:hAnsi="宋体"/>
          <w:sz w:val="21"/>
          <w:szCs w:val="21"/>
        </w:rPr>
        <w:t>为提高全员质量意识、</w:t>
      </w:r>
      <w:r>
        <w:rPr>
          <w:rFonts w:hint="eastAsia" w:ascii="宋体" w:hAnsi="宋体"/>
          <w:sz w:val="21"/>
          <w:szCs w:val="21"/>
        </w:rPr>
        <w:t>以</w:t>
      </w:r>
      <w:r>
        <w:rPr>
          <w:rFonts w:ascii="宋体" w:hAnsi="宋体"/>
          <w:sz w:val="21"/>
          <w:szCs w:val="21"/>
        </w:rPr>
        <w:t>顾客</w:t>
      </w:r>
      <w:r>
        <w:rPr>
          <w:rFonts w:hint="eastAsia" w:ascii="宋体" w:hAnsi="宋体"/>
          <w:sz w:val="21"/>
          <w:szCs w:val="21"/>
        </w:rPr>
        <w:t>为关注的焦点</w:t>
      </w:r>
      <w:r>
        <w:rPr>
          <w:rFonts w:ascii="宋体" w:hAnsi="宋体"/>
          <w:sz w:val="21"/>
          <w:szCs w:val="21"/>
        </w:rPr>
        <w:t>，公司</w:t>
      </w:r>
      <w:r>
        <w:rPr>
          <w:rFonts w:hint="eastAsia" w:ascii="宋体" w:hAnsi="宋体"/>
          <w:sz w:val="21"/>
          <w:szCs w:val="21"/>
        </w:rPr>
        <w:t>应</w:t>
      </w:r>
      <w:r>
        <w:rPr>
          <w:rFonts w:ascii="宋体" w:hAnsi="宋体"/>
          <w:sz w:val="21"/>
          <w:szCs w:val="21"/>
        </w:rPr>
        <w:t>通过多种形式宣传交流，确保相关工作人员知晓和理解：</w:t>
      </w:r>
      <w:r>
        <w:rPr>
          <w:rFonts w:hint="eastAsia" w:ascii="宋体" w:hAnsi="宋体"/>
          <w:sz w:val="21"/>
          <w:szCs w:val="21"/>
        </w:rPr>
        <w:t xml:space="preserve"> </w:t>
      </w:r>
    </w:p>
    <w:p w14:paraId="64307D38">
      <w:pPr>
        <w:widowControl/>
        <w:spacing w:line="400" w:lineRule="exact"/>
        <w:ind w:firstLine="420" w:firstLineChars="200"/>
        <w:rPr>
          <w:rFonts w:ascii="宋体" w:hAnsi="宋体"/>
          <w:sz w:val="21"/>
          <w:szCs w:val="21"/>
        </w:rPr>
      </w:pPr>
      <w:r>
        <w:rPr>
          <w:rFonts w:hint="eastAsia" w:ascii="宋体" w:hAnsi="宋体"/>
          <w:sz w:val="21"/>
          <w:szCs w:val="21"/>
        </w:rPr>
        <w:t xml:space="preserve">a)质量方针； </w:t>
      </w:r>
    </w:p>
    <w:p w14:paraId="426DB7A3">
      <w:pPr>
        <w:widowControl/>
        <w:spacing w:line="400" w:lineRule="exact"/>
        <w:ind w:firstLine="420" w:firstLineChars="200"/>
        <w:rPr>
          <w:rFonts w:ascii="宋体" w:hAnsi="宋体"/>
          <w:sz w:val="21"/>
          <w:szCs w:val="21"/>
        </w:rPr>
      </w:pPr>
      <w:r>
        <w:rPr>
          <w:rFonts w:hint="eastAsia" w:ascii="宋体" w:hAnsi="宋体"/>
          <w:sz w:val="21"/>
          <w:szCs w:val="21"/>
        </w:rPr>
        <w:t xml:space="preserve">b)相关的质量目标； </w:t>
      </w:r>
    </w:p>
    <w:p w14:paraId="79D72558">
      <w:pPr>
        <w:widowControl/>
        <w:spacing w:line="400" w:lineRule="exact"/>
        <w:ind w:firstLine="420" w:firstLineChars="200"/>
        <w:rPr>
          <w:rFonts w:ascii="宋体" w:hAnsi="宋体"/>
          <w:sz w:val="21"/>
          <w:szCs w:val="21"/>
        </w:rPr>
      </w:pPr>
      <w:r>
        <w:rPr>
          <w:rFonts w:hint="eastAsia" w:ascii="宋体" w:hAnsi="宋体"/>
          <w:sz w:val="21"/>
          <w:szCs w:val="21"/>
        </w:rPr>
        <w:t xml:space="preserve">c)他们对质量管理体系有效性的贡献，包括改进绩效的益处； </w:t>
      </w:r>
    </w:p>
    <w:p w14:paraId="66FE15DB">
      <w:pPr>
        <w:widowControl/>
        <w:spacing w:line="400" w:lineRule="exact"/>
        <w:ind w:firstLine="420" w:firstLineChars="200"/>
        <w:rPr>
          <w:rFonts w:ascii="宋体" w:hAnsi="宋体"/>
          <w:sz w:val="21"/>
          <w:szCs w:val="21"/>
        </w:rPr>
      </w:pPr>
      <w:r>
        <w:rPr>
          <w:rFonts w:hint="eastAsia" w:ascii="宋体" w:hAnsi="宋体"/>
          <w:sz w:val="21"/>
          <w:szCs w:val="21"/>
        </w:rPr>
        <w:t xml:space="preserve">d)不符合质量管理体系要求的后果； </w:t>
      </w:r>
    </w:p>
    <w:p w14:paraId="6B82DD49">
      <w:pPr>
        <w:widowControl/>
        <w:spacing w:line="400" w:lineRule="exact"/>
        <w:ind w:firstLine="420" w:firstLineChars="200"/>
        <w:rPr>
          <w:rFonts w:ascii="宋体" w:hAnsi="宋体"/>
          <w:sz w:val="21"/>
          <w:szCs w:val="21"/>
        </w:rPr>
      </w:pPr>
      <w:r>
        <w:rPr>
          <w:rFonts w:hint="eastAsia" w:ascii="宋体" w:hAnsi="宋体"/>
          <w:sz w:val="21"/>
          <w:szCs w:val="21"/>
        </w:rPr>
        <w:t xml:space="preserve">e)公司的质量文化； </w:t>
      </w:r>
    </w:p>
    <w:p w14:paraId="6828E39D">
      <w:pPr>
        <w:widowControl/>
        <w:spacing w:line="400" w:lineRule="exact"/>
        <w:ind w:firstLine="420" w:firstLineChars="200"/>
        <w:rPr>
          <w:rFonts w:ascii="宋体" w:hAnsi="宋体"/>
          <w:sz w:val="21"/>
          <w:szCs w:val="21"/>
        </w:rPr>
      </w:pPr>
      <w:r>
        <w:rPr>
          <w:rFonts w:hint="eastAsia" w:ascii="宋体" w:hAnsi="宋体"/>
          <w:sz w:val="21"/>
          <w:szCs w:val="21"/>
        </w:rPr>
        <w:t xml:space="preserve">f)岗位的质量职责； </w:t>
      </w:r>
    </w:p>
    <w:p w14:paraId="7159A96C">
      <w:pPr>
        <w:widowControl/>
        <w:spacing w:line="400" w:lineRule="exact"/>
        <w:ind w:firstLine="420" w:firstLineChars="200"/>
        <w:rPr>
          <w:rFonts w:ascii="宋体" w:hAnsi="宋体"/>
          <w:sz w:val="21"/>
          <w:szCs w:val="21"/>
        </w:rPr>
      </w:pPr>
      <w:r>
        <w:rPr>
          <w:rFonts w:hint="eastAsia" w:ascii="宋体" w:hAnsi="宋体"/>
          <w:sz w:val="21"/>
          <w:szCs w:val="21"/>
        </w:rPr>
        <w:t xml:space="preserve">g)所从事活动的重要性以及与其他活动的相关性； </w:t>
      </w:r>
    </w:p>
    <w:p w14:paraId="44575BE5">
      <w:pPr>
        <w:widowControl/>
        <w:spacing w:line="400" w:lineRule="exact"/>
        <w:ind w:firstLine="420" w:firstLineChars="200"/>
        <w:rPr>
          <w:rFonts w:ascii="宋体" w:hAnsi="宋体"/>
          <w:sz w:val="21"/>
          <w:szCs w:val="21"/>
        </w:rPr>
      </w:pPr>
      <w:r>
        <w:rPr>
          <w:rFonts w:hint="eastAsia" w:ascii="宋体" w:hAnsi="宋体"/>
          <w:sz w:val="21"/>
          <w:szCs w:val="21"/>
        </w:rPr>
        <w:t xml:space="preserve">h)产品和服务不满足规定或预期要求的后果； </w:t>
      </w:r>
    </w:p>
    <w:p w14:paraId="0610A939">
      <w:pPr>
        <w:widowControl/>
        <w:spacing w:line="400" w:lineRule="exact"/>
        <w:ind w:firstLine="420" w:firstLineChars="200"/>
        <w:rPr>
          <w:rFonts w:ascii="宋体" w:hAnsi="宋体"/>
          <w:sz w:val="21"/>
          <w:szCs w:val="21"/>
        </w:rPr>
      </w:pPr>
      <w:r>
        <w:rPr>
          <w:rFonts w:hint="eastAsia" w:ascii="宋体" w:hAnsi="宋体"/>
          <w:sz w:val="21"/>
          <w:szCs w:val="21"/>
        </w:rPr>
        <w:t>i)道德行为的重要性。</w:t>
      </w:r>
    </w:p>
    <w:p w14:paraId="5388E0C7">
      <w:pPr>
        <w:widowControl/>
        <w:spacing w:line="400" w:lineRule="exact"/>
        <w:ind w:firstLine="420" w:firstLineChars="200"/>
        <w:rPr>
          <w:rFonts w:ascii="宋体" w:hAnsi="宋体"/>
          <w:sz w:val="21"/>
          <w:szCs w:val="21"/>
        </w:rPr>
      </w:pPr>
      <w:r>
        <w:rPr>
          <w:rFonts w:hint="eastAsia" w:ascii="宋体" w:hAnsi="宋体"/>
          <w:sz w:val="21"/>
          <w:szCs w:val="21"/>
        </w:rPr>
        <w:t>综合行政部通过培训、教育、宣传、典型事例讲解等方式，使员工都认识到自己所从事的活动或工作在整个质量管理体系中的重要性和各种活动、过程之间的关联性，以及如何为实现所从事活动的质量目标做出贡献。</w:t>
      </w:r>
    </w:p>
    <w:p w14:paraId="689509C6">
      <w:pPr>
        <w:pStyle w:val="3"/>
        <w:spacing w:before="120" w:beforeLines="50" w:after="120" w:afterLines="50" w:line="400" w:lineRule="exact"/>
        <w:rPr>
          <w:rFonts w:ascii="宋体" w:hAnsi="宋体" w:eastAsia="宋体"/>
          <w:sz w:val="21"/>
          <w:szCs w:val="21"/>
        </w:rPr>
      </w:pPr>
      <w:bookmarkStart w:id="88" w:name="_Toc509844122"/>
      <w:bookmarkStart w:id="89" w:name="_Toc509844812"/>
      <w:bookmarkStart w:id="90" w:name="_Toc509845144"/>
      <w:bookmarkStart w:id="91" w:name="_Toc521509456"/>
      <w:r>
        <w:rPr>
          <w:rFonts w:hint="eastAsia" w:ascii="宋体" w:hAnsi="宋体" w:eastAsia="宋体"/>
          <w:sz w:val="24"/>
          <w:szCs w:val="24"/>
        </w:rPr>
        <w:t>7.4沟通</w:t>
      </w:r>
      <w:bookmarkEnd w:id="88"/>
      <w:bookmarkEnd w:id="89"/>
      <w:bookmarkEnd w:id="90"/>
      <w:bookmarkEnd w:id="91"/>
    </w:p>
    <w:p w14:paraId="1D2C245C">
      <w:pPr>
        <w:widowControl/>
        <w:spacing w:line="400" w:lineRule="exact"/>
        <w:ind w:firstLine="420" w:firstLineChars="200"/>
        <w:rPr>
          <w:rFonts w:ascii="宋体" w:hAnsi="宋体"/>
          <w:sz w:val="21"/>
          <w:szCs w:val="21"/>
        </w:rPr>
      </w:pPr>
      <w:r>
        <w:rPr>
          <w:rFonts w:hint="eastAsia" w:ascii="宋体" w:hAnsi="宋体"/>
          <w:sz w:val="21"/>
          <w:szCs w:val="21"/>
        </w:rPr>
        <w:t>公司确定由综合行政部、质量管理部、研发部、生产运维部、财务部等部门，根据各自的职责利用电话、传真、文件传递、走访等形式适时与顾客、外部供方、合作伙伴、主要业务关系方进行与质量管理体系相关的内部和外部沟通，包括：</w:t>
      </w:r>
    </w:p>
    <w:p w14:paraId="51B555BA">
      <w:pPr>
        <w:spacing w:line="400" w:lineRule="exact"/>
        <w:ind w:firstLine="420" w:firstLineChars="200"/>
        <w:rPr>
          <w:rFonts w:ascii="楷体" w:hAnsi="楷体" w:eastAsia="楷体"/>
          <w:bCs/>
          <w:sz w:val="21"/>
          <w:szCs w:val="21"/>
        </w:rPr>
      </w:pPr>
      <w:r>
        <w:rPr>
          <w:rFonts w:hint="eastAsia" w:ascii="宋体" w:hAnsi="宋体"/>
          <w:sz w:val="21"/>
          <w:szCs w:val="21"/>
        </w:rPr>
        <w:t>a</w:t>
      </w:r>
      <w:r>
        <w:rPr>
          <w:rFonts w:ascii="宋体" w:hAnsi="宋体"/>
          <w:sz w:val="21"/>
          <w:szCs w:val="21"/>
        </w:rPr>
        <w:t>)沟通内容；b)沟通时间；c)沟通对象；d)沟通方式；e)沟通负责人。</w:t>
      </w:r>
      <w:r>
        <w:rPr>
          <w:rFonts w:hint="eastAsia" w:ascii="楷体" w:hAnsi="楷体" w:eastAsia="楷体"/>
          <w:bCs/>
          <w:sz w:val="21"/>
          <w:szCs w:val="21"/>
        </w:rPr>
        <w:t>f)需要保留的记录。</w:t>
      </w:r>
    </w:p>
    <w:p w14:paraId="378F7BD3">
      <w:pPr>
        <w:pStyle w:val="37"/>
        <w:spacing w:line="480" w:lineRule="exact"/>
        <w:jc w:val="both"/>
        <w:rPr>
          <w:rFonts w:hAnsi="宋体"/>
          <w:sz w:val="21"/>
          <w:szCs w:val="21"/>
        </w:rPr>
      </w:pPr>
      <w:r>
        <w:rPr>
          <w:rFonts w:hint="eastAsia" w:hAnsi="宋体"/>
          <w:sz w:val="21"/>
          <w:szCs w:val="21"/>
        </w:rPr>
        <w:t>7.4.1内部沟通</w:t>
      </w:r>
      <w:r>
        <w:rPr>
          <w:rFonts w:hAnsi="宋体"/>
          <w:sz w:val="21"/>
          <w:szCs w:val="21"/>
        </w:rPr>
        <w:t xml:space="preserve"> </w:t>
      </w:r>
    </w:p>
    <w:tbl>
      <w:tblPr>
        <w:tblStyle w:val="17"/>
        <w:tblW w:w="87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575"/>
        <w:gridCol w:w="1108"/>
        <w:gridCol w:w="1913"/>
        <w:gridCol w:w="1427"/>
        <w:gridCol w:w="1417"/>
      </w:tblGrid>
      <w:tr w14:paraId="75D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426C3F51">
            <w:pPr>
              <w:pStyle w:val="37"/>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575" w:type="dxa"/>
            <w:vAlign w:val="center"/>
          </w:tcPr>
          <w:p w14:paraId="5A9F91E1">
            <w:pPr>
              <w:pStyle w:val="37"/>
              <w:snapToGrid w:val="0"/>
              <w:spacing w:line="240" w:lineRule="atLeast"/>
              <w:jc w:val="center"/>
              <w:rPr>
                <w:rFonts w:hAnsi="宋体"/>
                <w:sz w:val="21"/>
                <w:szCs w:val="21"/>
              </w:rPr>
            </w:pPr>
            <w:r>
              <w:rPr>
                <w:rFonts w:hint="eastAsia" w:hAnsi="宋体"/>
                <w:sz w:val="21"/>
                <w:szCs w:val="21"/>
              </w:rPr>
              <w:t>沟通时间</w:t>
            </w:r>
          </w:p>
        </w:tc>
        <w:tc>
          <w:tcPr>
            <w:tcW w:w="1108" w:type="dxa"/>
            <w:vAlign w:val="center"/>
          </w:tcPr>
          <w:p w14:paraId="6BA64EA4">
            <w:pPr>
              <w:pStyle w:val="37"/>
              <w:snapToGrid w:val="0"/>
              <w:spacing w:line="240" w:lineRule="atLeast"/>
              <w:jc w:val="center"/>
              <w:rPr>
                <w:rFonts w:hAnsi="宋体"/>
                <w:sz w:val="21"/>
                <w:szCs w:val="21"/>
              </w:rPr>
            </w:pPr>
            <w:r>
              <w:rPr>
                <w:rFonts w:hint="eastAsia" w:hAnsi="宋体"/>
                <w:sz w:val="21"/>
                <w:szCs w:val="21"/>
              </w:rPr>
              <w:t>沟通对象</w:t>
            </w:r>
          </w:p>
        </w:tc>
        <w:tc>
          <w:tcPr>
            <w:tcW w:w="1913" w:type="dxa"/>
            <w:vAlign w:val="center"/>
          </w:tcPr>
          <w:p w14:paraId="46CD2B71">
            <w:pPr>
              <w:pStyle w:val="37"/>
              <w:snapToGrid w:val="0"/>
              <w:spacing w:line="240" w:lineRule="atLeast"/>
              <w:jc w:val="center"/>
              <w:rPr>
                <w:rFonts w:hAnsi="宋体"/>
                <w:sz w:val="21"/>
                <w:szCs w:val="21"/>
              </w:rPr>
            </w:pPr>
            <w:r>
              <w:rPr>
                <w:rFonts w:hint="eastAsia" w:hAnsi="宋体"/>
                <w:sz w:val="21"/>
                <w:szCs w:val="21"/>
              </w:rPr>
              <w:t>沟通方式</w:t>
            </w:r>
          </w:p>
        </w:tc>
        <w:tc>
          <w:tcPr>
            <w:tcW w:w="1427" w:type="dxa"/>
            <w:vAlign w:val="center"/>
          </w:tcPr>
          <w:p w14:paraId="70240A52">
            <w:pPr>
              <w:pStyle w:val="37"/>
              <w:snapToGrid w:val="0"/>
              <w:spacing w:line="240" w:lineRule="atLeast"/>
              <w:jc w:val="center"/>
              <w:rPr>
                <w:rFonts w:hAnsi="宋体"/>
                <w:color w:val="auto"/>
                <w:sz w:val="21"/>
                <w:szCs w:val="21"/>
              </w:rPr>
            </w:pPr>
            <w:r>
              <w:rPr>
                <w:rFonts w:hint="eastAsia" w:hAnsi="宋体"/>
                <w:color w:val="auto"/>
                <w:sz w:val="21"/>
                <w:szCs w:val="21"/>
              </w:rPr>
              <w:t>负责部门</w:t>
            </w:r>
          </w:p>
        </w:tc>
        <w:tc>
          <w:tcPr>
            <w:tcW w:w="1417" w:type="dxa"/>
            <w:vAlign w:val="center"/>
          </w:tcPr>
          <w:p w14:paraId="64A23D68">
            <w:pPr>
              <w:pStyle w:val="37"/>
              <w:snapToGrid w:val="0"/>
              <w:spacing w:line="240" w:lineRule="atLeast"/>
              <w:jc w:val="center"/>
              <w:rPr>
                <w:rFonts w:hAnsi="宋体"/>
                <w:color w:val="auto"/>
                <w:sz w:val="21"/>
                <w:szCs w:val="21"/>
              </w:rPr>
            </w:pPr>
            <w:r>
              <w:rPr>
                <w:rFonts w:hint="eastAsia" w:hAnsi="宋体"/>
                <w:color w:val="auto"/>
                <w:sz w:val="21"/>
                <w:szCs w:val="21"/>
              </w:rPr>
              <w:t>记录形式</w:t>
            </w:r>
          </w:p>
        </w:tc>
      </w:tr>
      <w:tr w14:paraId="40DB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650CDF9">
            <w:pPr>
              <w:pStyle w:val="37"/>
              <w:snapToGrid w:val="0"/>
              <w:spacing w:line="240" w:lineRule="exact"/>
              <w:ind w:left="-3" w:leftChars="-1" w:firstLine="1"/>
              <w:jc w:val="both"/>
              <w:rPr>
                <w:rFonts w:hAnsi="宋体"/>
                <w:sz w:val="21"/>
                <w:szCs w:val="21"/>
              </w:rPr>
            </w:pPr>
            <w:r>
              <w:rPr>
                <w:rFonts w:hint="eastAsia" w:hAnsi="宋体"/>
                <w:sz w:val="21"/>
                <w:szCs w:val="21"/>
              </w:rPr>
              <w:t>各项工作的职责和权限</w:t>
            </w:r>
          </w:p>
        </w:tc>
        <w:tc>
          <w:tcPr>
            <w:tcW w:w="1575" w:type="dxa"/>
            <w:vAlign w:val="center"/>
          </w:tcPr>
          <w:p w14:paraId="789E689D">
            <w:pPr>
              <w:pStyle w:val="37"/>
              <w:snapToGrid w:val="0"/>
              <w:spacing w:line="240" w:lineRule="exact"/>
              <w:ind w:hanging="21"/>
              <w:jc w:val="both"/>
              <w:rPr>
                <w:rFonts w:hAnsi="宋体"/>
                <w:sz w:val="21"/>
                <w:szCs w:val="21"/>
              </w:rPr>
            </w:pPr>
            <w:r>
              <w:rPr>
                <w:rFonts w:hint="eastAsia" w:hAnsi="宋体"/>
                <w:sz w:val="21"/>
                <w:szCs w:val="21"/>
              </w:rPr>
              <w:t>文件发布前/工作安排前/适时</w:t>
            </w:r>
          </w:p>
        </w:tc>
        <w:tc>
          <w:tcPr>
            <w:tcW w:w="1108" w:type="dxa"/>
            <w:vAlign w:val="center"/>
          </w:tcPr>
          <w:p w14:paraId="6F81BA31">
            <w:pPr>
              <w:pStyle w:val="37"/>
              <w:snapToGrid w:val="0"/>
              <w:spacing w:line="240" w:lineRule="exact"/>
              <w:ind w:hanging="21"/>
              <w:jc w:val="both"/>
              <w:rPr>
                <w:rFonts w:hAnsi="宋体"/>
                <w:sz w:val="21"/>
                <w:szCs w:val="21"/>
              </w:rPr>
            </w:pPr>
            <w:r>
              <w:rPr>
                <w:rFonts w:hint="eastAsia" w:hAnsi="宋体"/>
                <w:sz w:val="21"/>
                <w:szCs w:val="21"/>
              </w:rPr>
              <w:t>相关部门</w:t>
            </w:r>
          </w:p>
        </w:tc>
        <w:tc>
          <w:tcPr>
            <w:tcW w:w="1913" w:type="dxa"/>
            <w:vAlign w:val="center"/>
          </w:tcPr>
          <w:p w14:paraId="4394825E">
            <w:pPr>
              <w:pStyle w:val="37"/>
              <w:snapToGrid w:val="0"/>
              <w:spacing w:line="240" w:lineRule="exact"/>
              <w:ind w:hanging="21"/>
              <w:jc w:val="both"/>
              <w:rPr>
                <w:rFonts w:hAnsi="宋体"/>
                <w:sz w:val="21"/>
                <w:szCs w:val="21"/>
              </w:rPr>
            </w:pPr>
            <w:r>
              <w:rPr>
                <w:rFonts w:hint="eastAsia" w:hAnsi="宋体"/>
                <w:sz w:val="21"/>
                <w:szCs w:val="21"/>
              </w:rPr>
              <w:t>文件发放/资料传递/会议交流</w:t>
            </w:r>
          </w:p>
        </w:tc>
        <w:tc>
          <w:tcPr>
            <w:tcW w:w="1427" w:type="dxa"/>
            <w:vAlign w:val="center"/>
          </w:tcPr>
          <w:p w14:paraId="7EB3DDFB">
            <w:pPr>
              <w:pStyle w:val="37"/>
              <w:spacing w:line="240" w:lineRule="exact"/>
              <w:jc w:val="both"/>
              <w:rPr>
                <w:rFonts w:hAnsi="宋体"/>
                <w:color w:val="auto"/>
                <w:sz w:val="21"/>
                <w:szCs w:val="21"/>
              </w:rPr>
            </w:pPr>
            <w:r>
              <w:rPr>
                <w:rFonts w:hint="eastAsia" w:hAnsi="宋体"/>
                <w:color w:val="auto"/>
                <w:sz w:val="21"/>
                <w:szCs w:val="21"/>
              </w:rPr>
              <w:t>主管职能部门/综合行政部</w:t>
            </w:r>
          </w:p>
        </w:tc>
        <w:tc>
          <w:tcPr>
            <w:tcW w:w="1417" w:type="dxa"/>
            <w:vAlign w:val="center"/>
          </w:tcPr>
          <w:p w14:paraId="606BB0B5">
            <w:pPr>
              <w:pStyle w:val="37"/>
              <w:snapToGrid w:val="0"/>
              <w:spacing w:line="240" w:lineRule="exact"/>
              <w:ind w:hanging="21"/>
              <w:jc w:val="center"/>
              <w:rPr>
                <w:rFonts w:hAnsi="宋体"/>
                <w:color w:val="auto"/>
                <w:sz w:val="21"/>
                <w:szCs w:val="21"/>
              </w:rPr>
            </w:pPr>
            <w:r>
              <w:rPr>
                <w:rFonts w:hint="eastAsia" w:hAnsi="宋体"/>
                <w:color w:val="auto"/>
                <w:sz w:val="21"/>
                <w:szCs w:val="21"/>
              </w:rPr>
              <w:t>协助平台/会议记录</w:t>
            </w:r>
          </w:p>
        </w:tc>
      </w:tr>
      <w:tr w14:paraId="0116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E198819">
            <w:pPr>
              <w:pStyle w:val="37"/>
              <w:snapToGrid w:val="0"/>
              <w:spacing w:line="240" w:lineRule="exact"/>
              <w:ind w:left="-3" w:leftChars="-1" w:firstLine="1"/>
              <w:jc w:val="both"/>
              <w:rPr>
                <w:rFonts w:hAnsi="宋体"/>
                <w:sz w:val="21"/>
                <w:szCs w:val="21"/>
              </w:rPr>
            </w:pPr>
            <w:r>
              <w:rPr>
                <w:rFonts w:hint="eastAsia" w:hAnsi="宋体"/>
                <w:sz w:val="21"/>
                <w:szCs w:val="21"/>
              </w:rPr>
              <w:t>体系文件</w:t>
            </w:r>
          </w:p>
        </w:tc>
        <w:tc>
          <w:tcPr>
            <w:tcW w:w="1575" w:type="dxa"/>
            <w:vAlign w:val="center"/>
          </w:tcPr>
          <w:p w14:paraId="112ED6A7">
            <w:pPr>
              <w:pStyle w:val="37"/>
              <w:snapToGrid w:val="0"/>
              <w:spacing w:line="240" w:lineRule="exact"/>
              <w:ind w:hanging="10"/>
              <w:jc w:val="both"/>
              <w:rPr>
                <w:rFonts w:hAnsi="宋体"/>
                <w:sz w:val="21"/>
                <w:szCs w:val="21"/>
              </w:rPr>
            </w:pPr>
            <w:r>
              <w:rPr>
                <w:rFonts w:hint="eastAsia" w:hAnsi="宋体"/>
                <w:sz w:val="21"/>
                <w:szCs w:val="21"/>
              </w:rPr>
              <w:t>文件发布前/工作安排前/适时</w:t>
            </w:r>
          </w:p>
        </w:tc>
        <w:tc>
          <w:tcPr>
            <w:tcW w:w="1108" w:type="dxa"/>
            <w:vAlign w:val="center"/>
          </w:tcPr>
          <w:p w14:paraId="4F7B7BD1">
            <w:pPr>
              <w:pStyle w:val="37"/>
              <w:snapToGrid w:val="0"/>
              <w:spacing w:line="240" w:lineRule="exact"/>
              <w:ind w:hanging="10"/>
              <w:jc w:val="both"/>
              <w:rPr>
                <w:rFonts w:hAnsi="宋体"/>
                <w:sz w:val="21"/>
                <w:szCs w:val="21"/>
              </w:rPr>
            </w:pPr>
            <w:r>
              <w:rPr>
                <w:rFonts w:hint="eastAsia" w:hAnsi="宋体"/>
                <w:sz w:val="21"/>
                <w:szCs w:val="21"/>
              </w:rPr>
              <w:t>部门</w:t>
            </w:r>
          </w:p>
        </w:tc>
        <w:tc>
          <w:tcPr>
            <w:tcW w:w="1913" w:type="dxa"/>
            <w:vAlign w:val="center"/>
          </w:tcPr>
          <w:p w14:paraId="0742B7D9">
            <w:pPr>
              <w:pStyle w:val="37"/>
              <w:snapToGrid w:val="0"/>
              <w:spacing w:line="240" w:lineRule="exact"/>
              <w:ind w:hanging="10"/>
              <w:jc w:val="both"/>
              <w:rPr>
                <w:rFonts w:hAnsi="宋体"/>
                <w:sz w:val="21"/>
                <w:szCs w:val="21"/>
              </w:rPr>
            </w:pPr>
            <w:r>
              <w:rPr>
                <w:rFonts w:hint="eastAsia" w:hAnsi="宋体"/>
                <w:sz w:val="21"/>
                <w:szCs w:val="21"/>
              </w:rPr>
              <w:t>文件分布/培训宣贯/会议交流/宣传公告栏/资料传递</w:t>
            </w:r>
          </w:p>
        </w:tc>
        <w:tc>
          <w:tcPr>
            <w:tcW w:w="1427" w:type="dxa"/>
            <w:vAlign w:val="center"/>
          </w:tcPr>
          <w:p w14:paraId="09018EF7">
            <w:pPr>
              <w:pStyle w:val="37"/>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78351A07">
            <w:pPr>
              <w:pStyle w:val="37"/>
              <w:snapToGrid w:val="0"/>
              <w:spacing w:line="240" w:lineRule="exact"/>
              <w:ind w:hanging="10"/>
              <w:jc w:val="center"/>
              <w:rPr>
                <w:rFonts w:hAnsi="宋体"/>
                <w:color w:val="auto"/>
                <w:sz w:val="21"/>
                <w:szCs w:val="21"/>
              </w:rPr>
            </w:pPr>
            <w:r>
              <w:rPr>
                <w:rFonts w:hint="eastAsia" w:hAnsi="宋体"/>
                <w:color w:val="auto"/>
                <w:sz w:val="21"/>
                <w:szCs w:val="21"/>
              </w:rPr>
              <w:t>协助平台/会议记录</w:t>
            </w:r>
          </w:p>
        </w:tc>
      </w:tr>
      <w:tr w14:paraId="7096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43823F9">
            <w:pPr>
              <w:pStyle w:val="37"/>
              <w:snapToGrid w:val="0"/>
              <w:spacing w:line="240" w:lineRule="exact"/>
              <w:ind w:left="-3" w:leftChars="-1" w:firstLine="1"/>
              <w:jc w:val="both"/>
              <w:rPr>
                <w:rFonts w:hAnsi="宋体"/>
                <w:sz w:val="21"/>
                <w:szCs w:val="21"/>
              </w:rPr>
            </w:pPr>
            <w:r>
              <w:rPr>
                <w:rFonts w:hint="eastAsia" w:hAnsi="宋体"/>
                <w:sz w:val="21"/>
                <w:szCs w:val="21"/>
              </w:rPr>
              <w:t>通告、管理文件、纪要、联络、计划等</w:t>
            </w:r>
          </w:p>
        </w:tc>
        <w:tc>
          <w:tcPr>
            <w:tcW w:w="1575" w:type="dxa"/>
            <w:vAlign w:val="center"/>
          </w:tcPr>
          <w:p w14:paraId="577CFCC2">
            <w:pPr>
              <w:pStyle w:val="37"/>
              <w:snapToGrid w:val="0"/>
              <w:spacing w:line="240" w:lineRule="exact"/>
              <w:jc w:val="both"/>
              <w:rPr>
                <w:rFonts w:hAnsi="宋体"/>
                <w:sz w:val="21"/>
                <w:szCs w:val="21"/>
              </w:rPr>
            </w:pPr>
            <w:r>
              <w:rPr>
                <w:rFonts w:hint="eastAsia" w:hAnsi="宋体"/>
                <w:sz w:val="21"/>
                <w:szCs w:val="21"/>
              </w:rPr>
              <w:t>文件发布前/培训宣贯/适时</w:t>
            </w:r>
          </w:p>
        </w:tc>
        <w:tc>
          <w:tcPr>
            <w:tcW w:w="1108" w:type="dxa"/>
            <w:vAlign w:val="center"/>
          </w:tcPr>
          <w:p w14:paraId="44730744">
            <w:pPr>
              <w:pStyle w:val="37"/>
              <w:snapToGrid w:val="0"/>
              <w:spacing w:line="240" w:lineRule="exact"/>
              <w:jc w:val="both"/>
              <w:rPr>
                <w:rFonts w:hAnsi="宋体"/>
                <w:sz w:val="21"/>
                <w:szCs w:val="21"/>
              </w:rPr>
            </w:pPr>
            <w:r>
              <w:rPr>
                <w:rFonts w:hint="eastAsia" w:hAnsi="宋体"/>
                <w:sz w:val="21"/>
                <w:szCs w:val="21"/>
              </w:rPr>
              <w:t>各部门</w:t>
            </w:r>
          </w:p>
        </w:tc>
        <w:tc>
          <w:tcPr>
            <w:tcW w:w="1913" w:type="dxa"/>
            <w:vAlign w:val="center"/>
          </w:tcPr>
          <w:p w14:paraId="64348CA6">
            <w:pPr>
              <w:pStyle w:val="37"/>
              <w:snapToGrid w:val="0"/>
              <w:spacing w:line="240" w:lineRule="exact"/>
              <w:jc w:val="both"/>
              <w:rPr>
                <w:rFonts w:hAnsi="宋体"/>
                <w:sz w:val="21"/>
                <w:szCs w:val="21"/>
              </w:rPr>
            </w:pPr>
            <w:r>
              <w:rPr>
                <w:rFonts w:hint="eastAsia" w:hAnsi="宋体"/>
                <w:sz w:val="21"/>
                <w:szCs w:val="21"/>
              </w:rPr>
              <w:t>文件分布/培训宣贯/会议交流/宣传公告栏/内部刊物/资料传递</w:t>
            </w:r>
          </w:p>
        </w:tc>
        <w:tc>
          <w:tcPr>
            <w:tcW w:w="1427" w:type="dxa"/>
            <w:vAlign w:val="center"/>
          </w:tcPr>
          <w:p w14:paraId="0D1BCA85">
            <w:pPr>
              <w:pStyle w:val="37"/>
              <w:spacing w:line="240" w:lineRule="exact"/>
              <w:jc w:val="both"/>
              <w:rPr>
                <w:rFonts w:hAnsi="宋体"/>
                <w:color w:val="auto"/>
                <w:sz w:val="21"/>
                <w:szCs w:val="21"/>
              </w:rPr>
            </w:pPr>
            <w:r>
              <w:rPr>
                <w:rFonts w:hint="eastAsia" w:hAnsi="宋体"/>
                <w:color w:val="auto"/>
                <w:sz w:val="21"/>
                <w:szCs w:val="21"/>
              </w:rPr>
              <w:t>文件发布部门</w:t>
            </w:r>
          </w:p>
        </w:tc>
        <w:tc>
          <w:tcPr>
            <w:tcW w:w="1417" w:type="dxa"/>
            <w:vAlign w:val="center"/>
          </w:tcPr>
          <w:p w14:paraId="44BD24A4">
            <w:pPr>
              <w:pStyle w:val="37"/>
              <w:snapToGrid w:val="0"/>
              <w:spacing w:line="240" w:lineRule="exact"/>
              <w:jc w:val="center"/>
              <w:rPr>
                <w:rFonts w:hAnsi="宋体"/>
                <w:color w:val="auto"/>
                <w:sz w:val="21"/>
                <w:szCs w:val="21"/>
              </w:rPr>
            </w:pPr>
            <w:r>
              <w:rPr>
                <w:rFonts w:hint="eastAsia" w:hAnsi="宋体"/>
                <w:color w:val="auto"/>
                <w:sz w:val="21"/>
                <w:szCs w:val="21"/>
              </w:rPr>
              <w:t>协助平台/会议记录</w:t>
            </w:r>
          </w:p>
        </w:tc>
      </w:tr>
      <w:tr w14:paraId="40B8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1F13798">
            <w:pPr>
              <w:pStyle w:val="37"/>
              <w:snapToGrid w:val="0"/>
              <w:spacing w:line="240" w:lineRule="exact"/>
              <w:ind w:left="-3" w:leftChars="-1" w:firstLine="1"/>
              <w:jc w:val="both"/>
              <w:rPr>
                <w:rFonts w:hAnsi="宋体"/>
                <w:sz w:val="21"/>
                <w:szCs w:val="21"/>
              </w:rPr>
            </w:pPr>
            <w:r>
              <w:rPr>
                <w:rFonts w:hint="eastAsia" w:hAnsi="宋体"/>
                <w:sz w:val="21"/>
                <w:szCs w:val="21"/>
              </w:rPr>
              <w:t>产品、过程的符合信息</w:t>
            </w:r>
          </w:p>
        </w:tc>
        <w:tc>
          <w:tcPr>
            <w:tcW w:w="1575" w:type="dxa"/>
            <w:vAlign w:val="center"/>
          </w:tcPr>
          <w:p w14:paraId="307C7338">
            <w:pPr>
              <w:pStyle w:val="37"/>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319B7C73">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3847DC0A">
            <w:pPr>
              <w:pStyle w:val="37"/>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456D95E3">
            <w:pPr>
              <w:pStyle w:val="37"/>
              <w:spacing w:line="240" w:lineRule="exact"/>
              <w:jc w:val="both"/>
              <w:rPr>
                <w:rFonts w:hAnsi="宋体"/>
                <w:color w:val="auto"/>
                <w:sz w:val="21"/>
                <w:szCs w:val="21"/>
              </w:rPr>
            </w:pPr>
            <w:r>
              <w:rPr>
                <w:rFonts w:hint="eastAsia" w:hAnsi="宋体"/>
                <w:color w:val="auto"/>
                <w:sz w:val="21"/>
                <w:szCs w:val="21"/>
              </w:rPr>
              <w:t>综合行政部、质量管理部、生产运维部、研发部、市场部</w:t>
            </w:r>
          </w:p>
        </w:tc>
        <w:tc>
          <w:tcPr>
            <w:tcW w:w="1417" w:type="dxa"/>
            <w:vAlign w:val="center"/>
          </w:tcPr>
          <w:p w14:paraId="3805A9B2">
            <w:pPr>
              <w:pStyle w:val="37"/>
              <w:snapToGrid w:val="0"/>
              <w:spacing w:line="240" w:lineRule="exact"/>
              <w:ind w:hanging="10"/>
              <w:jc w:val="center"/>
              <w:rPr>
                <w:rFonts w:hAnsi="宋体"/>
                <w:sz w:val="21"/>
                <w:szCs w:val="21"/>
              </w:rPr>
            </w:pPr>
            <w:r>
              <w:rPr>
                <w:rFonts w:hint="eastAsia" w:hAnsi="宋体"/>
                <w:sz w:val="21"/>
                <w:szCs w:val="21"/>
              </w:rPr>
              <w:t>质量信息反馈单/会议记录</w:t>
            </w:r>
          </w:p>
        </w:tc>
      </w:tr>
      <w:tr w14:paraId="061E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239DEB25">
            <w:pPr>
              <w:pStyle w:val="37"/>
              <w:snapToGrid w:val="0"/>
              <w:spacing w:line="240" w:lineRule="exact"/>
              <w:ind w:left="-3" w:leftChars="-1" w:firstLine="1"/>
              <w:jc w:val="both"/>
              <w:rPr>
                <w:rFonts w:hAnsi="宋体"/>
                <w:sz w:val="21"/>
                <w:szCs w:val="21"/>
              </w:rPr>
            </w:pPr>
            <w:r>
              <w:rPr>
                <w:rFonts w:hint="eastAsia" w:hAnsi="宋体"/>
                <w:sz w:val="21"/>
                <w:szCs w:val="21"/>
              </w:rPr>
              <w:t>数据统计信息</w:t>
            </w:r>
          </w:p>
        </w:tc>
        <w:tc>
          <w:tcPr>
            <w:tcW w:w="1575" w:type="dxa"/>
            <w:vAlign w:val="center"/>
          </w:tcPr>
          <w:p w14:paraId="443BD810">
            <w:pPr>
              <w:pStyle w:val="37"/>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60E10733">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37A0DA99">
            <w:pPr>
              <w:pStyle w:val="37"/>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3316798C">
            <w:pPr>
              <w:pStyle w:val="37"/>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50D4F644">
            <w:pPr>
              <w:pStyle w:val="37"/>
              <w:snapToGrid w:val="0"/>
              <w:spacing w:line="240" w:lineRule="exact"/>
              <w:ind w:hanging="10"/>
              <w:jc w:val="center"/>
              <w:rPr>
                <w:rFonts w:hAnsi="宋体"/>
                <w:sz w:val="21"/>
                <w:szCs w:val="21"/>
              </w:rPr>
            </w:pPr>
            <w:r>
              <w:rPr>
                <w:rFonts w:hint="eastAsia" w:hAnsi="宋体"/>
                <w:sz w:val="21"/>
                <w:szCs w:val="21"/>
              </w:rPr>
              <w:t>协助平台/统计分析报告</w:t>
            </w:r>
          </w:p>
        </w:tc>
      </w:tr>
      <w:tr w14:paraId="266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5D9639F7">
            <w:pPr>
              <w:pStyle w:val="37"/>
              <w:snapToGrid w:val="0"/>
              <w:spacing w:line="240" w:lineRule="exact"/>
              <w:ind w:left="-3" w:leftChars="-1" w:firstLine="1"/>
              <w:jc w:val="both"/>
              <w:rPr>
                <w:rFonts w:hAnsi="宋体"/>
                <w:sz w:val="21"/>
                <w:szCs w:val="21"/>
              </w:rPr>
            </w:pPr>
            <w:r>
              <w:rPr>
                <w:rFonts w:hint="eastAsia" w:hAnsi="宋体"/>
                <w:sz w:val="21"/>
                <w:szCs w:val="21"/>
              </w:rPr>
              <w:t>审核和评审的方法</w:t>
            </w:r>
          </w:p>
        </w:tc>
        <w:tc>
          <w:tcPr>
            <w:tcW w:w="1575" w:type="dxa"/>
            <w:vAlign w:val="center"/>
          </w:tcPr>
          <w:p w14:paraId="0E5AE49C">
            <w:pPr>
              <w:pStyle w:val="37"/>
              <w:snapToGrid w:val="0"/>
              <w:spacing w:line="240" w:lineRule="exact"/>
              <w:ind w:hanging="10"/>
              <w:jc w:val="both"/>
              <w:rPr>
                <w:rFonts w:hAnsi="宋体"/>
                <w:sz w:val="21"/>
                <w:szCs w:val="21"/>
              </w:rPr>
            </w:pPr>
            <w:r>
              <w:rPr>
                <w:rFonts w:hint="eastAsia" w:hAnsi="宋体"/>
                <w:sz w:val="21"/>
                <w:szCs w:val="21"/>
              </w:rPr>
              <w:t>评价与评审完成后</w:t>
            </w:r>
          </w:p>
        </w:tc>
        <w:tc>
          <w:tcPr>
            <w:tcW w:w="1108" w:type="dxa"/>
            <w:vAlign w:val="center"/>
          </w:tcPr>
          <w:p w14:paraId="2ED82882">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4826EFF7">
            <w:pPr>
              <w:pStyle w:val="37"/>
              <w:snapToGrid w:val="0"/>
              <w:spacing w:line="240" w:lineRule="exact"/>
              <w:ind w:hanging="10"/>
              <w:jc w:val="both"/>
              <w:rPr>
                <w:rFonts w:hAnsi="宋体"/>
                <w:sz w:val="21"/>
                <w:szCs w:val="21"/>
              </w:rPr>
            </w:pPr>
            <w:r>
              <w:rPr>
                <w:rFonts w:hint="eastAsia" w:hAnsi="宋体"/>
                <w:sz w:val="21"/>
                <w:szCs w:val="21"/>
              </w:rPr>
              <w:t>文件发布/资料传递/会议交流</w:t>
            </w:r>
          </w:p>
        </w:tc>
        <w:tc>
          <w:tcPr>
            <w:tcW w:w="1427" w:type="dxa"/>
            <w:vAlign w:val="center"/>
          </w:tcPr>
          <w:p w14:paraId="2839FB7F">
            <w:pPr>
              <w:pStyle w:val="37"/>
              <w:snapToGrid w:val="0"/>
              <w:spacing w:line="240" w:lineRule="exact"/>
              <w:ind w:hanging="10"/>
              <w:jc w:val="both"/>
              <w:rPr>
                <w:rFonts w:hAnsi="宋体"/>
                <w:sz w:val="21"/>
                <w:szCs w:val="21"/>
              </w:rPr>
            </w:pPr>
            <w:r>
              <w:rPr>
                <w:rFonts w:hint="eastAsia" w:hAnsi="宋体"/>
                <w:sz w:val="21"/>
                <w:szCs w:val="21"/>
              </w:rPr>
              <w:t>质量管理部</w:t>
            </w:r>
          </w:p>
        </w:tc>
        <w:tc>
          <w:tcPr>
            <w:tcW w:w="1417" w:type="dxa"/>
            <w:vAlign w:val="center"/>
          </w:tcPr>
          <w:p w14:paraId="2EC3C834">
            <w:pPr>
              <w:pStyle w:val="37"/>
              <w:snapToGrid w:val="0"/>
              <w:spacing w:line="240" w:lineRule="exact"/>
              <w:ind w:hanging="10"/>
              <w:jc w:val="center"/>
              <w:rPr>
                <w:rFonts w:hAnsi="宋体"/>
                <w:sz w:val="21"/>
                <w:szCs w:val="21"/>
              </w:rPr>
            </w:pPr>
            <w:r>
              <w:rPr>
                <w:rFonts w:hint="eastAsia" w:hAnsi="宋体"/>
                <w:sz w:val="21"/>
                <w:szCs w:val="21"/>
              </w:rPr>
              <w:t>协助平台</w:t>
            </w:r>
          </w:p>
        </w:tc>
      </w:tr>
      <w:tr w14:paraId="62A5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083F3F49">
            <w:pPr>
              <w:pStyle w:val="37"/>
              <w:snapToGrid w:val="0"/>
              <w:spacing w:line="240" w:lineRule="exact"/>
              <w:ind w:left="-3" w:leftChars="-1" w:firstLine="1"/>
              <w:jc w:val="both"/>
              <w:rPr>
                <w:rFonts w:hAnsi="宋体"/>
                <w:sz w:val="21"/>
                <w:szCs w:val="21"/>
              </w:rPr>
            </w:pPr>
            <w:r>
              <w:rPr>
                <w:rFonts w:hint="eastAsia" w:hAnsi="宋体"/>
                <w:sz w:val="21"/>
                <w:szCs w:val="21"/>
              </w:rPr>
              <w:t>员工的期望</w:t>
            </w:r>
          </w:p>
        </w:tc>
        <w:tc>
          <w:tcPr>
            <w:tcW w:w="1575" w:type="dxa"/>
            <w:vAlign w:val="center"/>
          </w:tcPr>
          <w:p w14:paraId="0252BBAC">
            <w:pPr>
              <w:pStyle w:val="37"/>
              <w:snapToGrid w:val="0"/>
              <w:spacing w:line="240" w:lineRule="exact"/>
              <w:ind w:hanging="10"/>
              <w:jc w:val="both"/>
              <w:rPr>
                <w:rFonts w:hAnsi="宋体"/>
                <w:sz w:val="21"/>
                <w:szCs w:val="21"/>
              </w:rPr>
            </w:pPr>
            <w:r>
              <w:rPr>
                <w:rFonts w:hint="eastAsia" w:hAnsi="宋体"/>
                <w:sz w:val="21"/>
                <w:szCs w:val="21"/>
              </w:rPr>
              <w:t>适时</w:t>
            </w:r>
          </w:p>
        </w:tc>
        <w:tc>
          <w:tcPr>
            <w:tcW w:w="1108" w:type="dxa"/>
            <w:vAlign w:val="center"/>
          </w:tcPr>
          <w:p w14:paraId="10F5F072">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5EBB70AF">
            <w:pPr>
              <w:pStyle w:val="37"/>
              <w:snapToGrid w:val="0"/>
              <w:spacing w:line="240" w:lineRule="exact"/>
              <w:ind w:hanging="10"/>
              <w:jc w:val="both"/>
              <w:rPr>
                <w:rFonts w:hAnsi="宋体"/>
                <w:sz w:val="21"/>
                <w:szCs w:val="21"/>
              </w:rPr>
            </w:pPr>
            <w:r>
              <w:rPr>
                <w:rFonts w:hint="eastAsia" w:hAnsi="宋体"/>
                <w:sz w:val="21"/>
                <w:szCs w:val="21"/>
              </w:rPr>
              <w:t>资料传递/会议交流</w:t>
            </w:r>
          </w:p>
        </w:tc>
        <w:tc>
          <w:tcPr>
            <w:tcW w:w="1427" w:type="dxa"/>
            <w:vAlign w:val="center"/>
          </w:tcPr>
          <w:p w14:paraId="660C9DAC">
            <w:pPr>
              <w:pStyle w:val="37"/>
              <w:snapToGrid w:val="0"/>
              <w:spacing w:line="240" w:lineRule="exact"/>
              <w:ind w:hanging="10"/>
              <w:jc w:val="both"/>
              <w:rPr>
                <w:rFonts w:hAnsi="宋体"/>
                <w:sz w:val="21"/>
                <w:szCs w:val="21"/>
              </w:rPr>
            </w:pPr>
            <w:r>
              <w:rPr>
                <w:rFonts w:hint="eastAsia" w:hAnsi="宋体"/>
                <w:sz w:val="21"/>
                <w:szCs w:val="21"/>
              </w:rPr>
              <w:t>提出部门</w:t>
            </w:r>
          </w:p>
        </w:tc>
        <w:tc>
          <w:tcPr>
            <w:tcW w:w="1417" w:type="dxa"/>
            <w:vAlign w:val="center"/>
          </w:tcPr>
          <w:p w14:paraId="135D09F0">
            <w:pPr>
              <w:pStyle w:val="37"/>
              <w:snapToGrid w:val="0"/>
              <w:spacing w:line="240" w:lineRule="exact"/>
              <w:ind w:hanging="10"/>
              <w:jc w:val="center"/>
              <w:rPr>
                <w:rFonts w:hAnsi="宋体"/>
                <w:sz w:val="21"/>
                <w:szCs w:val="21"/>
              </w:rPr>
            </w:pPr>
            <w:r>
              <w:rPr>
                <w:rFonts w:hint="eastAsia" w:hAnsi="宋体"/>
                <w:sz w:val="21"/>
                <w:szCs w:val="21"/>
              </w:rPr>
              <w:t>合理化建议/会议记录</w:t>
            </w:r>
          </w:p>
        </w:tc>
      </w:tr>
      <w:tr w14:paraId="5C7B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1303C5ED">
            <w:pPr>
              <w:pStyle w:val="37"/>
              <w:snapToGrid w:val="0"/>
              <w:spacing w:line="240" w:lineRule="exact"/>
              <w:ind w:left="-3" w:leftChars="-1" w:firstLine="1"/>
              <w:jc w:val="both"/>
              <w:rPr>
                <w:rFonts w:hAnsi="宋体"/>
                <w:sz w:val="21"/>
                <w:szCs w:val="21"/>
              </w:rPr>
            </w:pPr>
            <w:r>
              <w:rPr>
                <w:rFonts w:hint="eastAsia" w:hAnsi="宋体"/>
                <w:sz w:val="21"/>
                <w:szCs w:val="21"/>
              </w:rPr>
              <w:t>绩效信息</w:t>
            </w:r>
          </w:p>
        </w:tc>
        <w:tc>
          <w:tcPr>
            <w:tcW w:w="1575" w:type="dxa"/>
            <w:vAlign w:val="center"/>
          </w:tcPr>
          <w:p w14:paraId="189A792B">
            <w:pPr>
              <w:pStyle w:val="37"/>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4C51E8A1">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832607A">
            <w:pPr>
              <w:pStyle w:val="37"/>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000C2D3A">
            <w:pPr>
              <w:pStyle w:val="37"/>
              <w:snapToGrid w:val="0"/>
              <w:spacing w:line="240" w:lineRule="exact"/>
              <w:ind w:hanging="10"/>
              <w:jc w:val="both"/>
              <w:rPr>
                <w:rFonts w:hAnsi="宋体"/>
                <w:sz w:val="21"/>
                <w:szCs w:val="21"/>
              </w:rPr>
            </w:pPr>
            <w:r>
              <w:rPr>
                <w:rFonts w:hint="eastAsia" w:hAnsi="宋体"/>
                <w:sz w:val="21"/>
                <w:szCs w:val="21"/>
              </w:rPr>
              <w:t>综合行政部</w:t>
            </w:r>
          </w:p>
        </w:tc>
        <w:tc>
          <w:tcPr>
            <w:tcW w:w="1417" w:type="dxa"/>
            <w:vAlign w:val="center"/>
          </w:tcPr>
          <w:p w14:paraId="634F0180">
            <w:pPr>
              <w:pStyle w:val="37"/>
              <w:snapToGrid w:val="0"/>
              <w:spacing w:line="240" w:lineRule="exact"/>
              <w:ind w:hanging="10"/>
              <w:jc w:val="center"/>
              <w:rPr>
                <w:rFonts w:hAnsi="宋体"/>
                <w:sz w:val="21"/>
                <w:szCs w:val="21"/>
              </w:rPr>
            </w:pPr>
            <w:r>
              <w:rPr>
                <w:rFonts w:hint="eastAsia" w:hAnsi="宋体"/>
                <w:sz w:val="21"/>
                <w:szCs w:val="21"/>
              </w:rPr>
              <w:t>绩效考核表/会议记录</w:t>
            </w:r>
          </w:p>
        </w:tc>
      </w:tr>
      <w:tr w14:paraId="2C92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728ABFB1">
            <w:pPr>
              <w:pStyle w:val="37"/>
              <w:snapToGrid w:val="0"/>
              <w:spacing w:line="240" w:lineRule="exact"/>
              <w:ind w:left="-3" w:leftChars="-1" w:firstLine="1"/>
              <w:jc w:val="both"/>
              <w:rPr>
                <w:rFonts w:hAnsi="宋体"/>
                <w:sz w:val="21"/>
                <w:szCs w:val="21"/>
              </w:rPr>
            </w:pPr>
            <w:r>
              <w:rPr>
                <w:rFonts w:hint="eastAsia" w:hAnsi="宋体"/>
                <w:sz w:val="21"/>
                <w:szCs w:val="21"/>
              </w:rPr>
              <w:t>变更信息</w:t>
            </w:r>
          </w:p>
        </w:tc>
        <w:tc>
          <w:tcPr>
            <w:tcW w:w="1575" w:type="dxa"/>
            <w:vAlign w:val="center"/>
          </w:tcPr>
          <w:p w14:paraId="7393105D">
            <w:pPr>
              <w:pStyle w:val="37"/>
              <w:snapToGrid w:val="0"/>
              <w:spacing w:line="240" w:lineRule="exact"/>
              <w:ind w:hanging="10"/>
              <w:jc w:val="both"/>
              <w:rPr>
                <w:rFonts w:hAnsi="宋体"/>
                <w:sz w:val="21"/>
                <w:szCs w:val="21"/>
              </w:rPr>
            </w:pPr>
            <w:r>
              <w:rPr>
                <w:rFonts w:hint="eastAsia" w:hAnsi="宋体"/>
                <w:sz w:val="21"/>
                <w:szCs w:val="21"/>
              </w:rPr>
              <w:t>按文件要求</w:t>
            </w:r>
          </w:p>
        </w:tc>
        <w:tc>
          <w:tcPr>
            <w:tcW w:w="1108" w:type="dxa"/>
            <w:vAlign w:val="center"/>
          </w:tcPr>
          <w:p w14:paraId="56124757">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B818A4C">
            <w:pPr>
              <w:pStyle w:val="37"/>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162EEBFE">
            <w:pPr>
              <w:pStyle w:val="37"/>
              <w:snapToGrid w:val="0"/>
              <w:spacing w:line="240" w:lineRule="exact"/>
              <w:ind w:hanging="10"/>
              <w:jc w:val="both"/>
              <w:rPr>
                <w:rFonts w:hAnsi="宋体"/>
                <w:sz w:val="21"/>
                <w:szCs w:val="21"/>
              </w:rPr>
            </w:pPr>
            <w:r>
              <w:rPr>
                <w:rFonts w:hint="eastAsia" w:hAnsi="宋体"/>
                <w:sz w:val="21"/>
                <w:szCs w:val="21"/>
              </w:rPr>
              <w:t>变更提出部门</w:t>
            </w:r>
          </w:p>
        </w:tc>
        <w:tc>
          <w:tcPr>
            <w:tcW w:w="1417" w:type="dxa"/>
            <w:vAlign w:val="center"/>
          </w:tcPr>
          <w:p w14:paraId="02806D7D">
            <w:pPr>
              <w:pStyle w:val="37"/>
              <w:snapToGrid w:val="0"/>
              <w:spacing w:line="240" w:lineRule="exact"/>
              <w:ind w:hanging="10"/>
              <w:jc w:val="center"/>
              <w:rPr>
                <w:rFonts w:hAnsi="宋体"/>
                <w:sz w:val="21"/>
                <w:szCs w:val="21"/>
              </w:rPr>
            </w:pPr>
            <w:r>
              <w:rPr>
                <w:rFonts w:hint="eastAsia" w:hAnsi="宋体"/>
                <w:sz w:val="21"/>
                <w:szCs w:val="21"/>
              </w:rPr>
              <w:t>协助平台/通知单</w:t>
            </w:r>
          </w:p>
        </w:tc>
      </w:tr>
      <w:tr w14:paraId="2371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vAlign w:val="center"/>
          </w:tcPr>
          <w:p w14:paraId="3C472BE1">
            <w:pPr>
              <w:pStyle w:val="37"/>
              <w:snapToGrid w:val="0"/>
              <w:spacing w:line="240" w:lineRule="exact"/>
              <w:ind w:left="-3" w:leftChars="-1" w:firstLine="1"/>
              <w:jc w:val="both"/>
              <w:rPr>
                <w:rFonts w:hAnsi="宋体"/>
                <w:sz w:val="21"/>
                <w:szCs w:val="21"/>
              </w:rPr>
            </w:pPr>
            <w:r>
              <w:rPr>
                <w:rFonts w:hint="eastAsia" w:hAnsi="宋体"/>
                <w:sz w:val="21"/>
                <w:szCs w:val="21"/>
              </w:rPr>
              <w:t>其他信息</w:t>
            </w:r>
          </w:p>
        </w:tc>
        <w:tc>
          <w:tcPr>
            <w:tcW w:w="1575" w:type="dxa"/>
            <w:vAlign w:val="center"/>
          </w:tcPr>
          <w:p w14:paraId="27EC1F38">
            <w:pPr>
              <w:pStyle w:val="37"/>
              <w:snapToGrid w:val="0"/>
              <w:spacing w:line="240" w:lineRule="exact"/>
              <w:ind w:hanging="10"/>
              <w:jc w:val="both"/>
              <w:rPr>
                <w:rFonts w:hAnsi="宋体"/>
                <w:sz w:val="21"/>
                <w:szCs w:val="21"/>
              </w:rPr>
            </w:pPr>
            <w:r>
              <w:rPr>
                <w:rFonts w:hint="eastAsia" w:hAnsi="宋体"/>
                <w:sz w:val="21"/>
                <w:szCs w:val="21"/>
              </w:rPr>
              <w:t>适时或定期</w:t>
            </w:r>
          </w:p>
        </w:tc>
        <w:tc>
          <w:tcPr>
            <w:tcW w:w="1108" w:type="dxa"/>
            <w:vAlign w:val="center"/>
          </w:tcPr>
          <w:p w14:paraId="2EC45699">
            <w:pPr>
              <w:pStyle w:val="37"/>
              <w:snapToGrid w:val="0"/>
              <w:spacing w:line="240" w:lineRule="exact"/>
              <w:ind w:hanging="10"/>
              <w:jc w:val="both"/>
              <w:rPr>
                <w:rFonts w:hAnsi="宋体"/>
                <w:sz w:val="21"/>
                <w:szCs w:val="21"/>
              </w:rPr>
            </w:pPr>
            <w:r>
              <w:rPr>
                <w:rFonts w:hint="eastAsia" w:hAnsi="宋体"/>
                <w:sz w:val="21"/>
                <w:szCs w:val="21"/>
              </w:rPr>
              <w:t>各部门</w:t>
            </w:r>
          </w:p>
        </w:tc>
        <w:tc>
          <w:tcPr>
            <w:tcW w:w="1913" w:type="dxa"/>
            <w:vAlign w:val="center"/>
          </w:tcPr>
          <w:p w14:paraId="1B25B227">
            <w:pPr>
              <w:pStyle w:val="37"/>
              <w:snapToGrid w:val="0"/>
              <w:spacing w:line="240" w:lineRule="exact"/>
              <w:ind w:hanging="10"/>
              <w:jc w:val="both"/>
              <w:rPr>
                <w:rFonts w:hAnsi="宋体"/>
                <w:sz w:val="21"/>
                <w:szCs w:val="21"/>
              </w:rPr>
            </w:pPr>
            <w:r>
              <w:rPr>
                <w:rFonts w:hint="eastAsia" w:hAnsi="宋体"/>
                <w:sz w:val="21"/>
                <w:szCs w:val="21"/>
              </w:rPr>
              <w:t>资料传递/会议交流/文件发布</w:t>
            </w:r>
          </w:p>
        </w:tc>
        <w:tc>
          <w:tcPr>
            <w:tcW w:w="1427" w:type="dxa"/>
            <w:vAlign w:val="center"/>
          </w:tcPr>
          <w:p w14:paraId="0D33B6D2">
            <w:pPr>
              <w:pStyle w:val="37"/>
              <w:snapToGrid w:val="0"/>
              <w:spacing w:line="240" w:lineRule="exact"/>
              <w:ind w:hanging="10"/>
              <w:jc w:val="both"/>
              <w:rPr>
                <w:rFonts w:hAnsi="宋体"/>
                <w:sz w:val="21"/>
                <w:szCs w:val="21"/>
              </w:rPr>
            </w:pPr>
            <w:r>
              <w:rPr>
                <w:rFonts w:hint="eastAsia" w:hAnsi="宋体"/>
                <w:sz w:val="21"/>
                <w:szCs w:val="21"/>
              </w:rPr>
              <w:t>各部门</w:t>
            </w:r>
          </w:p>
        </w:tc>
        <w:tc>
          <w:tcPr>
            <w:tcW w:w="1417" w:type="dxa"/>
            <w:vAlign w:val="center"/>
          </w:tcPr>
          <w:p w14:paraId="71A56998">
            <w:pPr>
              <w:pStyle w:val="37"/>
              <w:snapToGrid w:val="0"/>
              <w:spacing w:line="240" w:lineRule="exact"/>
              <w:ind w:hanging="10"/>
              <w:jc w:val="center"/>
              <w:rPr>
                <w:rFonts w:hAnsi="宋体"/>
                <w:sz w:val="21"/>
                <w:szCs w:val="21"/>
              </w:rPr>
            </w:pPr>
            <w:r>
              <w:rPr>
                <w:rFonts w:hint="eastAsia" w:hAnsi="宋体"/>
                <w:sz w:val="21"/>
                <w:szCs w:val="21"/>
              </w:rPr>
              <w:t>协助平台/通知</w:t>
            </w:r>
            <w:r>
              <w:rPr>
                <w:rFonts w:hAnsi="宋体"/>
                <w:sz w:val="21"/>
                <w:szCs w:val="21"/>
              </w:rPr>
              <w:t xml:space="preserve"> </w:t>
            </w:r>
          </w:p>
        </w:tc>
      </w:tr>
    </w:tbl>
    <w:p w14:paraId="415AA9C2">
      <w:pPr>
        <w:widowControl/>
        <w:spacing w:line="400" w:lineRule="exact"/>
        <w:ind w:firstLine="420" w:firstLineChars="200"/>
        <w:rPr>
          <w:rFonts w:ascii="宋体" w:hAnsi="宋体"/>
          <w:sz w:val="21"/>
          <w:szCs w:val="21"/>
        </w:rPr>
      </w:pPr>
    </w:p>
    <w:p w14:paraId="666759D2">
      <w:pPr>
        <w:widowControl/>
        <w:spacing w:line="400" w:lineRule="exact"/>
        <w:ind w:firstLine="420" w:firstLineChars="200"/>
        <w:rPr>
          <w:rFonts w:ascii="宋体" w:hAnsi="宋体"/>
          <w:sz w:val="21"/>
          <w:szCs w:val="21"/>
        </w:rPr>
      </w:pPr>
    </w:p>
    <w:p w14:paraId="6D2C1F73">
      <w:pPr>
        <w:widowControl/>
        <w:spacing w:line="400" w:lineRule="exact"/>
        <w:ind w:firstLine="420" w:firstLineChars="200"/>
        <w:rPr>
          <w:rFonts w:ascii="宋体" w:hAnsi="宋体"/>
          <w:sz w:val="21"/>
          <w:szCs w:val="21"/>
        </w:rPr>
      </w:pPr>
    </w:p>
    <w:p w14:paraId="61460574">
      <w:pPr>
        <w:widowControl/>
        <w:spacing w:line="400" w:lineRule="exact"/>
        <w:ind w:firstLine="420" w:firstLineChars="200"/>
        <w:rPr>
          <w:rFonts w:ascii="宋体" w:hAnsi="宋体"/>
          <w:sz w:val="21"/>
          <w:szCs w:val="21"/>
        </w:rPr>
      </w:pPr>
    </w:p>
    <w:p w14:paraId="4F37FDCD">
      <w:pPr>
        <w:widowControl/>
        <w:spacing w:line="400" w:lineRule="exact"/>
        <w:ind w:firstLine="420" w:firstLineChars="200"/>
        <w:rPr>
          <w:rFonts w:ascii="宋体" w:hAnsi="宋体"/>
          <w:sz w:val="21"/>
          <w:szCs w:val="21"/>
        </w:rPr>
      </w:pPr>
    </w:p>
    <w:p w14:paraId="36D67FD4">
      <w:pPr>
        <w:widowControl/>
        <w:spacing w:line="400" w:lineRule="exact"/>
        <w:ind w:firstLine="420" w:firstLineChars="200"/>
        <w:rPr>
          <w:rFonts w:ascii="宋体" w:hAnsi="宋体"/>
          <w:sz w:val="21"/>
          <w:szCs w:val="21"/>
        </w:rPr>
      </w:pPr>
    </w:p>
    <w:p w14:paraId="44F10EA0">
      <w:pPr>
        <w:widowControl/>
        <w:spacing w:line="400" w:lineRule="exact"/>
        <w:ind w:firstLine="420" w:firstLineChars="200"/>
        <w:rPr>
          <w:rFonts w:ascii="宋体" w:hAnsi="宋体"/>
          <w:sz w:val="21"/>
          <w:szCs w:val="21"/>
        </w:rPr>
      </w:pPr>
    </w:p>
    <w:p w14:paraId="3D05ACD2">
      <w:pPr>
        <w:pStyle w:val="37"/>
        <w:spacing w:line="480" w:lineRule="exact"/>
        <w:jc w:val="both"/>
        <w:rPr>
          <w:rFonts w:hAnsi="宋体"/>
          <w:sz w:val="21"/>
          <w:szCs w:val="21"/>
        </w:rPr>
      </w:pPr>
      <w:r>
        <w:rPr>
          <w:rFonts w:hAnsi="宋体"/>
          <w:sz w:val="21"/>
          <w:szCs w:val="21"/>
        </w:rPr>
        <w:t xml:space="preserve">7.4.2 </w:t>
      </w:r>
      <w:r>
        <w:rPr>
          <w:rFonts w:hint="eastAsia" w:hAnsi="宋体"/>
          <w:sz w:val="21"/>
          <w:szCs w:val="21"/>
        </w:rPr>
        <w:t>外部沟通</w:t>
      </w:r>
      <w:r>
        <w:rPr>
          <w:rFonts w:hAnsi="宋体"/>
          <w:sz w:val="21"/>
          <w:szCs w:val="21"/>
        </w:rPr>
        <w:t xml:space="preserve"> </w:t>
      </w:r>
    </w:p>
    <w:tbl>
      <w:tblPr>
        <w:tblStyle w:val="1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753"/>
        <w:gridCol w:w="992"/>
        <w:gridCol w:w="1985"/>
        <w:gridCol w:w="1417"/>
        <w:gridCol w:w="1418"/>
      </w:tblGrid>
      <w:tr w14:paraId="51A1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720A5F11">
            <w:pPr>
              <w:pStyle w:val="37"/>
              <w:snapToGrid w:val="0"/>
              <w:spacing w:line="240" w:lineRule="atLeast"/>
              <w:ind w:left="-3" w:leftChars="-1" w:firstLine="1"/>
              <w:jc w:val="center"/>
              <w:rPr>
                <w:rFonts w:hAnsi="宋体"/>
                <w:sz w:val="21"/>
                <w:szCs w:val="21"/>
              </w:rPr>
            </w:pPr>
            <w:r>
              <w:rPr>
                <w:rFonts w:hint="eastAsia" w:hAnsi="宋体"/>
                <w:sz w:val="21"/>
                <w:szCs w:val="21"/>
              </w:rPr>
              <w:t>沟通内容</w:t>
            </w:r>
          </w:p>
        </w:tc>
        <w:tc>
          <w:tcPr>
            <w:tcW w:w="1753" w:type="dxa"/>
            <w:vAlign w:val="center"/>
          </w:tcPr>
          <w:p w14:paraId="684BCF69">
            <w:pPr>
              <w:pStyle w:val="37"/>
              <w:snapToGrid w:val="0"/>
              <w:spacing w:line="240" w:lineRule="atLeast"/>
              <w:ind w:left="-3" w:leftChars="-1" w:firstLine="1"/>
              <w:jc w:val="center"/>
              <w:rPr>
                <w:rFonts w:hAnsi="宋体"/>
                <w:sz w:val="21"/>
                <w:szCs w:val="21"/>
              </w:rPr>
            </w:pPr>
            <w:r>
              <w:rPr>
                <w:rFonts w:hint="eastAsia" w:hAnsi="宋体"/>
                <w:sz w:val="21"/>
                <w:szCs w:val="21"/>
              </w:rPr>
              <w:t>沟通时间</w:t>
            </w:r>
          </w:p>
        </w:tc>
        <w:tc>
          <w:tcPr>
            <w:tcW w:w="992" w:type="dxa"/>
            <w:vAlign w:val="center"/>
          </w:tcPr>
          <w:p w14:paraId="47544037">
            <w:pPr>
              <w:pStyle w:val="37"/>
              <w:snapToGrid w:val="0"/>
              <w:spacing w:line="240" w:lineRule="atLeast"/>
              <w:ind w:left="-3" w:leftChars="-1" w:firstLine="1"/>
              <w:jc w:val="center"/>
              <w:rPr>
                <w:rFonts w:hAnsi="宋体"/>
                <w:sz w:val="21"/>
                <w:szCs w:val="21"/>
              </w:rPr>
            </w:pPr>
            <w:r>
              <w:rPr>
                <w:rFonts w:hint="eastAsia" w:hAnsi="宋体"/>
                <w:sz w:val="21"/>
                <w:szCs w:val="21"/>
              </w:rPr>
              <w:t>沟通</w:t>
            </w:r>
          </w:p>
          <w:p w14:paraId="2DCC8E35">
            <w:pPr>
              <w:pStyle w:val="37"/>
              <w:snapToGrid w:val="0"/>
              <w:spacing w:line="240" w:lineRule="atLeast"/>
              <w:ind w:left="-3" w:leftChars="-1" w:firstLine="1"/>
              <w:jc w:val="center"/>
              <w:rPr>
                <w:rFonts w:hAnsi="宋体"/>
                <w:sz w:val="21"/>
                <w:szCs w:val="21"/>
              </w:rPr>
            </w:pPr>
            <w:r>
              <w:rPr>
                <w:rFonts w:hint="eastAsia" w:hAnsi="宋体"/>
                <w:sz w:val="21"/>
                <w:szCs w:val="21"/>
              </w:rPr>
              <w:t>对象</w:t>
            </w:r>
          </w:p>
        </w:tc>
        <w:tc>
          <w:tcPr>
            <w:tcW w:w="1985" w:type="dxa"/>
            <w:vAlign w:val="center"/>
          </w:tcPr>
          <w:p w14:paraId="642D18A3">
            <w:pPr>
              <w:pStyle w:val="37"/>
              <w:snapToGrid w:val="0"/>
              <w:spacing w:line="240" w:lineRule="atLeast"/>
              <w:ind w:left="-3" w:leftChars="-1" w:firstLine="1"/>
              <w:jc w:val="center"/>
              <w:rPr>
                <w:rFonts w:hAnsi="宋体"/>
                <w:sz w:val="21"/>
                <w:szCs w:val="21"/>
              </w:rPr>
            </w:pPr>
            <w:r>
              <w:rPr>
                <w:rFonts w:hint="eastAsia" w:hAnsi="宋体"/>
                <w:sz w:val="21"/>
                <w:szCs w:val="21"/>
              </w:rPr>
              <w:t>沟通方式</w:t>
            </w:r>
          </w:p>
        </w:tc>
        <w:tc>
          <w:tcPr>
            <w:tcW w:w="1417" w:type="dxa"/>
            <w:vAlign w:val="center"/>
          </w:tcPr>
          <w:p w14:paraId="30CA772F">
            <w:pPr>
              <w:pStyle w:val="37"/>
              <w:snapToGrid w:val="0"/>
              <w:spacing w:line="240" w:lineRule="atLeast"/>
              <w:ind w:left="-3" w:leftChars="-1" w:firstLine="1"/>
              <w:jc w:val="center"/>
              <w:rPr>
                <w:rFonts w:hAnsi="宋体"/>
                <w:sz w:val="21"/>
                <w:szCs w:val="21"/>
              </w:rPr>
            </w:pPr>
            <w:r>
              <w:rPr>
                <w:rFonts w:hint="eastAsia" w:hAnsi="宋体"/>
                <w:sz w:val="21"/>
                <w:szCs w:val="21"/>
              </w:rPr>
              <w:t>负责部门</w:t>
            </w:r>
          </w:p>
        </w:tc>
        <w:tc>
          <w:tcPr>
            <w:tcW w:w="1418" w:type="dxa"/>
            <w:vAlign w:val="center"/>
          </w:tcPr>
          <w:p w14:paraId="23F66763">
            <w:pPr>
              <w:pStyle w:val="37"/>
              <w:snapToGrid w:val="0"/>
              <w:spacing w:line="240" w:lineRule="atLeast"/>
              <w:ind w:left="-3" w:leftChars="-1" w:firstLine="1"/>
              <w:jc w:val="center"/>
              <w:rPr>
                <w:rFonts w:hAnsi="宋体"/>
                <w:sz w:val="21"/>
                <w:szCs w:val="21"/>
              </w:rPr>
            </w:pPr>
            <w:r>
              <w:rPr>
                <w:rFonts w:hint="eastAsia" w:hAnsi="宋体"/>
                <w:sz w:val="21"/>
                <w:szCs w:val="21"/>
              </w:rPr>
              <w:t>记录形式</w:t>
            </w:r>
          </w:p>
        </w:tc>
      </w:tr>
      <w:tr w14:paraId="11CE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2F56D0C">
            <w:pPr>
              <w:pStyle w:val="37"/>
              <w:snapToGrid w:val="0"/>
              <w:spacing w:line="240" w:lineRule="atLeast"/>
              <w:ind w:left="-3" w:leftChars="-1" w:firstLine="1"/>
              <w:jc w:val="center"/>
              <w:rPr>
                <w:rFonts w:hAnsi="宋体"/>
                <w:sz w:val="21"/>
                <w:szCs w:val="21"/>
              </w:rPr>
            </w:pPr>
            <w:r>
              <w:rPr>
                <w:rFonts w:hint="eastAsia" w:hAnsi="宋体"/>
                <w:sz w:val="21"/>
                <w:szCs w:val="21"/>
              </w:rPr>
              <w:t>市场信息/顾客信息</w:t>
            </w:r>
          </w:p>
        </w:tc>
        <w:tc>
          <w:tcPr>
            <w:tcW w:w="1753" w:type="dxa"/>
            <w:vAlign w:val="center"/>
          </w:tcPr>
          <w:p w14:paraId="6BDAF5BB">
            <w:pPr>
              <w:pStyle w:val="37"/>
              <w:snapToGrid w:val="0"/>
              <w:spacing w:line="240" w:lineRule="atLeast"/>
              <w:ind w:left="-3" w:leftChars="-1" w:firstLine="1"/>
              <w:jc w:val="center"/>
              <w:rPr>
                <w:rFonts w:hAnsi="宋体"/>
                <w:sz w:val="21"/>
                <w:szCs w:val="21"/>
              </w:rPr>
            </w:pPr>
            <w:r>
              <w:rPr>
                <w:rFonts w:hint="eastAsia" w:hAnsi="宋体"/>
                <w:sz w:val="21"/>
                <w:szCs w:val="21"/>
              </w:rPr>
              <w:t>制定年度经营计划/适时</w:t>
            </w:r>
          </w:p>
        </w:tc>
        <w:tc>
          <w:tcPr>
            <w:tcW w:w="992" w:type="dxa"/>
            <w:vAlign w:val="center"/>
          </w:tcPr>
          <w:p w14:paraId="729D5FBE">
            <w:pPr>
              <w:pStyle w:val="37"/>
              <w:snapToGrid w:val="0"/>
              <w:spacing w:line="240" w:lineRule="atLeast"/>
              <w:ind w:left="-3" w:leftChars="-1" w:firstLine="1"/>
              <w:jc w:val="center"/>
              <w:rPr>
                <w:rFonts w:hAnsi="宋体"/>
                <w:sz w:val="21"/>
                <w:szCs w:val="21"/>
              </w:rPr>
            </w:pPr>
            <w:r>
              <w:rPr>
                <w:rFonts w:hint="eastAsia" w:hAnsi="宋体"/>
                <w:sz w:val="21"/>
                <w:szCs w:val="21"/>
              </w:rPr>
              <w:t>顾客和市场</w:t>
            </w:r>
          </w:p>
        </w:tc>
        <w:tc>
          <w:tcPr>
            <w:tcW w:w="1985" w:type="dxa"/>
            <w:vAlign w:val="center"/>
          </w:tcPr>
          <w:p w14:paraId="7718131D">
            <w:pPr>
              <w:pStyle w:val="37"/>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1C77A5C5">
            <w:pPr>
              <w:pStyle w:val="37"/>
              <w:spacing w:line="240" w:lineRule="exact"/>
              <w:jc w:val="center"/>
              <w:rPr>
                <w:rFonts w:hAnsi="宋体"/>
                <w:sz w:val="21"/>
                <w:szCs w:val="21"/>
              </w:rPr>
            </w:pPr>
            <w:r>
              <w:rPr>
                <w:rFonts w:hint="eastAsia" w:hAnsi="宋体"/>
                <w:sz w:val="21"/>
                <w:szCs w:val="21"/>
              </w:rPr>
              <w:t>市场部</w:t>
            </w:r>
          </w:p>
          <w:p w14:paraId="64CADCF8">
            <w:pPr>
              <w:pStyle w:val="37"/>
              <w:spacing w:line="240" w:lineRule="exact"/>
              <w:jc w:val="center"/>
              <w:rPr>
                <w:rFonts w:hAnsi="宋体"/>
                <w:sz w:val="21"/>
                <w:szCs w:val="21"/>
              </w:rPr>
            </w:pPr>
            <w:r>
              <w:rPr>
                <w:rFonts w:hint="eastAsia" w:hAnsi="宋体"/>
                <w:sz w:val="21"/>
                <w:szCs w:val="21"/>
              </w:rPr>
              <w:t>研发部</w:t>
            </w:r>
          </w:p>
        </w:tc>
        <w:tc>
          <w:tcPr>
            <w:tcW w:w="1418" w:type="dxa"/>
            <w:vAlign w:val="center"/>
          </w:tcPr>
          <w:p w14:paraId="4815D762">
            <w:pPr>
              <w:pStyle w:val="37"/>
              <w:snapToGrid w:val="0"/>
              <w:spacing w:line="240" w:lineRule="atLeast"/>
              <w:ind w:left="-3" w:leftChars="-1" w:firstLine="1"/>
              <w:jc w:val="center"/>
              <w:rPr>
                <w:rFonts w:hAnsi="宋体"/>
                <w:sz w:val="21"/>
                <w:szCs w:val="21"/>
              </w:rPr>
            </w:pPr>
            <w:r>
              <w:rPr>
                <w:rFonts w:hint="eastAsia" w:hAnsi="宋体"/>
                <w:sz w:val="21"/>
                <w:szCs w:val="21"/>
              </w:rPr>
              <w:t>市场分析报告/工作签报单</w:t>
            </w:r>
          </w:p>
        </w:tc>
      </w:tr>
      <w:tr w14:paraId="2F7E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18BA4921">
            <w:pPr>
              <w:pStyle w:val="37"/>
              <w:snapToGrid w:val="0"/>
              <w:spacing w:line="240" w:lineRule="atLeast"/>
              <w:ind w:left="-3" w:leftChars="-1" w:firstLine="1"/>
              <w:jc w:val="center"/>
              <w:rPr>
                <w:rFonts w:hAnsi="宋体"/>
                <w:sz w:val="21"/>
                <w:szCs w:val="21"/>
              </w:rPr>
            </w:pPr>
            <w:r>
              <w:rPr>
                <w:rFonts w:hint="eastAsia" w:hAnsi="宋体"/>
                <w:sz w:val="21"/>
                <w:szCs w:val="21"/>
              </w:rPr>
              <w:t>法律法规等要求</w:t>
            </w:r>
          </w:p>
        </w:tc>
        <w:tc>
          <w:tcPr>
            <w:tcW w:w="1753" w:type="dxa"/>
            <w:vAlign w:val="center"/>
          </w:tcPr>
          <w:p w14:paraId="1F29E9BB">
            <w:pPr>
              <w:pStyle w:val="37"/>
              <w:snapToGrid w:val="0"/>
              <w:spacing w:line="240" w:lineRule="atLeast"/>
              <w:ind w:left="-3" w:leftChars="-1" w:firstLine="1"/>
              <w:jc w:val="center"/>
              <w:rPr>
                <w:rFonts w:hAnsi="宋体"/>
                <w:sz w:val="21"/>
                <w:szCs w:val="21"/>
              </w:rPr>
            </w:pPr>
            <w:r>
              <w:rPr>
                <w:rFonts w:hint="eastAsia" w:hAnsi="宋体"/>
                <w:sz w:val="21"/>
                <w:szCs w:val="21"/>
              </w:rPr>
              <w:t>法律法规等要求发布前的培训</w:t>
            </w:r>
          </w:p>
        </w:tc>
        <w:tc>
          <w:tcPr>
            <w:tcW w:w="992" w:type="dxa"/>
            <w:vAlign w:val="center"/>
          </w:tcPr>
          <w:p w14:paraId="006D7C4B">
            <w:pPr>
              <w:pStyle w:val="37"/>
              <w:snapToGrid w:val="0"/>
              <w:spacing w:line="240" w:lineRule="atLeast"/>
              <w:ind w:left="-3" w:leftChars="-1" w:firstLine="1"/>
              <w:jc w:val="center"/>
              <w:rPr>
                <w:rFonts w:hAnsi="宋体"/>
                <w:sz w:val="21"/>
                <w:szCs w:val="21"/>
              </w:rPr>
            </w:pPr>
            <w:r>
              <w:rPr>
                <w:rFonts w:hint="eastAsia" w:hAnsi="宋体"/>
                <w:sz w:val="21"/>
                <w:szCs w:val="21"/>
              </w:rPr>
              <w:t>政府相关机构</w:t>
            </w:r>
          </w:p>
        </w:tc>
        <w:tc>
          <w:tcPr>
            <w:tcW w:w="1985" w:type="dxa"/>
            <w:vAlign w:val="center"/>
          </w:tcPr>
          <w:p w14:paraId="2FFBA4C0">
            <w:pPr>
              <w:pStyle w:val="37"/>
              <w:snapToGrid w:val="0"/>
              <w:spacing w:line="240" w:lineRule="atLeast"/>
              <w:ind w:left="-3" w:leftChars="-1" w:firstLine="1"/>
              <w:jc w:val="center"/>
              <w:rPr>
                <w:rFonts w:hAnsi="宋体"/>
                <w:sz w:val="21"/>
                <w:szCs w:val="21"/>
              </w:rPr>
            </w:pPr>
            <w:r>
              <w:rPr>
                <w:rFonts w:hint="eastAsia" w:hAnsi="宋体"/>
                <w:sz w:val="21"/>
                <w:szCs w:val="21"/>
              </w:rPr>
              <w:t>网站获取、学习、培训、会议交流、宣贯学习/适时</w:t>
            </w:r>
          </w:p>
        </w:tc>
        <w:tc>
          <w:tcPr>
            <w:tcW w:w="1417" w:type="dxa"/>
            <w:vAlign w:val="center"/>
          </w:tcPr>
          <w:p w14:paraId="4FFB45FD">
            <w:pPr>
              <w:pStyle w:val="37"/>
              <w:spacing w:line="240" w:lineRule="exact"/>
              <w:jc w:val="center"/>
              <w:rPr>
                <w:rFonts w:hAnsi="宋体"/>
                <w:sz w:val="21"/>
                <w:szCs w:val="21"/>
              </w:rPr>
            </w:pPr>
            <w:r>
              <w:rPr>
                <w:rFonts w:hint="eastAsia" w:hAnsi="宋体"/>
                <w:sz w:val="21"/>
                <w:szCs w:val="21"/>
              </w:rPr>
              <w:t>综合行政部</w:t>
            </w:r>
          </w:p>
          <w:p w14:paraId="6B09A012">
            <w:pPr>
              <w:pStyle w:val="37"/>
              <w:spacing w:line="240" w:lineRule="exact"/>
              <w:jc w:val="center"/>
              <w:rPr>
                <w:rFonts w:hAnsi="宋体"/>
                <w:sz w:val="21"/>
                <w:szCs w:val="21"/>
              </w:rPr>
            </w:pPr>
            <w:r>
              <w:rPr>
                <w:rFonts w:hint="eastAsia" w:hAnsi="宋体"/>
                <w:sz w:val="21"/>
                <w:szCs w:val="21"/>
              </w:rPr>
              <w:t>各部门</w:t>
            </w:r>
          </w:p>
        </w:tc>
        <w:tc>
          <w:tcPr>
            <w:tcW w:w="1418" w:type="dxa"/>
            <w:vAlign w:val="center"/>
          </w:tcPr>
          <w:p w14:paraId="08BAEEF7">
            <w:pPr>
              <w:pStyle w:val="37"/>
              <w:snapToGrid w:val="0"/>
              <w:spacing w:line="240" w:lineRule="atLeast"/>
              <w:ind w:left="-3" w:leftChars="-1" w:firstLine="1"/>
              <w:jc w:val="center"/>
              <w:rPr>
                <w:rFonts w:hAnsi="宋体"/>
                <w:sz w:val="21"/>
                <w:szCs w:val="21"/>
              </w:rPr>
            </w:pPr>
            <w:r>
              <w:rPr>
                <w:rFonts w:hint="eastAsia" w:hAnsi="宋体"/>
                <w:sz w:val="21"/>
                <w:szCs w:val="21"/>
              </w:rPr>
              <w:t>会议记录/学习记录</w:t>
            </w:r>
          </w:p>
        </w:tc>
      </w:tr>
      <w:tr w14:paraId="4F0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171E799E">
            <w:pPr>
              <w:pStyle w:val="37"/>
              <w:snapToGrid w:val="0"/>
              <w:spacing w:line="240" w:lineRule="atLeast"/>
              <w:ind w:left="-3" w:leftChars="-1" w:firstLine="1"/>
              <w:jc w:val="center"/>
              <w:rPr>
                <w:rFonts w:hAnsi="宋体"/>
                <w:sz w:val="21"/>
                <w:szCs w:val="21"/>
              </w:rPr>
            </w:pPr>
            <w:r>
              <w:rPr>
                <w:rFonts w:hint="eastAsia" w:hAnsi="宋体"/>
                <w:sz w:val="21"/>
                <w:szCs w:val="21"/>
              </w:rPr>
              <w:t>供方要求期望等信息</w:t>
            </w:r>
          </w:p>
        </w:tc>
        <w:tc>
          <w:tcPr>
            <w:tcW w:w="1753" w:type="dxa"/>
            <w:vAlign w:val="center"/>
          </w:tcPr>
          <w:p w14:paraId="3734371E">
            <w:pPr>
              <w:pStyle w:val="37"/>
              <w:snapToGrid w:val="0"/>
              <w:spacing w:line="240" w:lineRule="atLeast"/>
              <w:ind w:left="-3" w:leftChars="-1" w:firstLine="1"/>
              <w:jc w:val="center"/>
              <w:rPr>
                <w:rFonts w:hAnsi="宋体"/>
                <w:sz w:val="21"/>
                <w:szCs w:val="21"/>
              </w:rPr>
            </w:pPr>
            <w:r>
              <w:rPr>
                <w:rFonts w:hint="eastAsia" w:hAnsi="宋体"/>
                <w:sz w:val="21"/>
                <w:szCs w:val="21"/>
              </w:rPr>
              <w:t>组织环境分析/适时交流</w:t>
            </w:r>
          </w:p>
        </w:tc>
        <w:tc>
          <w:tcPr>
            <w:tcW w:w="992" w:type="dxa"/>
            <w:vAlign w:val="center"/>
          </w:tcPr>
          <w:p w14:paraId="436AFC4B">
            <w:pPr>
              <w:pStyle w:val="37"/>
              <w:snapToGrid w:val="0"/>
              <w:spacing w:line="240" w:lineRule="atLeast"/>
              <w:ind w:left="-3" w:leftChars="-1" w:firstLine="1"/>
              <w:jc w:val="center"/>
              <w:rPr>
                <w:rFonts w:hAnsi="宋体"/>
                <w:sz w:val="21"/>
                <w:szCs w:val="21"/>
              </w:rPr>
            </w:pPr>
            <w:r>
              <w:rPr>
                <w:rFonts w:hint="eastAsia" w:hAnsi="宋体"/>
                <w:sz w:val="21"/>
                <w:szCs w:val="21"/>
              </w:rPr>
              <w:t>供方</w:t>
            </w:r>
          </w:p>
        </w:tc>
        <w:tc>
          <w:tcPr>
            <w:tcW w:w="1985" w:type="dxa"/>
            <w:vAlign w:val="center"/>
          </w:tcPr>
          <w:p w14:paraId="61480310">
            <w:pPr>
              <w:pStyle w:val="37"/>
              <w:snapToGrid w:val="0"/>
              <w:spacing w:line="240" w:lineRule="atLeast"/>
              <w:ind w:left="-3" w:leftChars="-1" w:firstLine="1"/>
              <w:jc w:val="center"/>
              <w:rPr>
                <w:rFonts w:hAnsi="宋体"/>
                <w:sz w:val="21"/>
                <w:szCs w:val="21"/>
              </w:rPr>
            </w:pPr>
            <w:r>
              <w:rPr>
                <w:rFonts w:hint="eastAsia" w:hAnsi="宋体"/>
                <w:sz w:val="21"/>
                <w:szCs w:val="21"/>
              </w:rPr>
              <w:t>调查/网络信息平台 /往来文件信息</w:t>
            </w:r>
          </w:p>
        </w:tc>
        <w:tc>
          <w:tcPr>
            <w:tcW w:w="1417" w:type="dxa"/>
            <w:vAlign w:val="center"/>
          </w:tcPr>
          <w:p w14:paraId="1E9FE2CA">
            <w:pPr>
              <w:pStyle w:val="37"/>
              <w:spacing w:line="240" w:lineRule="exact"/>
              <w:jc w:val="center"/>
              <w:rPr>
                <w:rFonts w:hAnsi="宋体"/>
                <w:sz w:val="21"/>
                <w:szCs w:val="21"/>
              </w:rPr>
            </w:pPr>
            <w:r>
              <w:rPr>
                <w:rFonts w:hint="eastAsia" w:hAnsi="宋体"/>
                <w:sz w:val="21"/>
                <w:szCs w:val="21"/>
              </w:rPr>
              <w:t>综合行政部</w:t>
            </w:r>
          </w:p>
        </w:tc>
        <w:tc>
          <w:tcPr>
            <w:tcW w:w="1418" w:type="dxa"/>
            <w:vAlign w:val="center"/>
          </w:tcPr>
          <w:p w14:paraId="7FDC25A2">
            <w:pPr>
              <w:pStyle w:val="37"/>
              <w:snapToGrid w:val="0"/>
              <w:spacing w:line="240" w:lineRule="atLeast"/>
              <w:ind w:left="-3" w:leftChars="-1" w:firstLine="1"/>
              <w:jc w:val="center"/>
              <w:rPr>
                <w:rFonts w:hAnsi="宋体"/>
                <w:sz w:val="21"/>
                <w:szCs w:val="21"/>
              </w:rPr>
            </w:pPr>
            <w:r>
              <w:rPr>
                <w:rFonts w:hint="eastAsia" w:hAnsi="宋体"/>
                <w:sz w:val="21"/>
                <w:szCs w:val="21"/>
              </w:rPr>
              <w:t>工作签报单</w:t>
            </w:r>
          </w:p>
        </w:tc>
      </w:tr>
      <w:tr w14:paraId="5A81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2668620F">
            <w:pPr>
              <w:pStyle w:val="37"/>
              <w:snapToGrid w:val="0"/>
              <w:spacing w:line="240" w:lineRule="atLeast"/>
              <w:ind w:left="-3" w:leftChars="-1" w:firstLine="1"/>
              <w:jc w:val="center"/>
              <w:rPr>
                <w:rFonts w:hAnsi="宋体"/>
                <w:sz w:val="21"/>
                <w:szCs w:val="21"/>
              </w:rPr>
            </w:pPr>
            <w:r>
              <w:rPr>
                <w:rFonts w:hint="eastAsia" w:hAnsi="宋体"/>
                <w:sz w:val="21"/>
                <w:szCs w:val="21"/>
              </w:rPr>
              <w:t>其他信息</w:t>
            </w:r>
          </w:p>
        </w:tc>
        <w:tc>
          <w:tcPr>
            <w:tcW w:w="1753" w:type="dxa"/>
            <w:vAlign w:val="center"/>
          </w:tcPr>
          <w:p w14:paraId="53A4D14B">
            <w:pPr>
              <w:pStyle w:val="37"/>
              <w:snapToGrid w:val="0"/>
              <w:spacing w:line="240" w:lineRule="atLeast"/>
              <w:ind w:left="-3" w:leftChars="-1" w:firstLine="1"/>
              <w:jc w:val="center"/>
              <w:rPr>
                <w:rFonts w:hAnsi="宋体"/>
                <w:sz w:val="21"/>
                <w:szCs w:val="21"/>
              </w:rPr>
            </w:pPr>
            <w:r>
              <w:rPr>
                <w:rFonts w:hint="eastAsia" w:hAnsi="宋体"/>
                <w:sz w:val="21"/>
                <w:szCs w:val="21"/>
              </w:rPr>
              <w:t>适时或定期</w:t>
            </w:r>
          </w:p>
        </w:tc>
        <w:tc>
          <w:tcPr>
            <w:tcW w:w="992" w:type="dxa"/>
            <w:vAlign w:val="center"/>
          </w:tcPr>
          <w:p w14:paraId="58F7B498">
            <w:pPr>
              <w:pStyle w:val="37"/>
              <w:snapToGrid w:val="0"/>
              <w:spacing w:line="240" w:lineRule="atLeast"/>
              <w:ind w:left="-3" w:leftChars="-1" w:firstLine="1"/>
              <w:jc w:val="center"/>
              <w:rPr>
                <w:rFonts w:hAnsi="宋体"/>
                <w:sz w:val="21"/>
                <w:szCs w:val="21"/>
              </w:rPr>
            </w:pPr>
            <w:r>
              <w:rPr>
                <w:rFonts w:hint="eastAsia" w:hAnsi="宋体"/>
                <w:sz w:val="21"/>
                <w:szCs w:val="21"/>
              </w:rPr>
              <w:t>各部门</w:t>
            </w:r>
          </w:p>
        </w:tc>
        <w:tc>
          <w:tcPr>
            <w:tcW w:w="1985" w:type="dxa"/>
            <w:vAlign w:val="center"/>
          </w:tcPr>
          <w:p w14:paraId="43E8B9B7">
            <w:pPr>
              <w:pStyle w:val="37"/>
              <w:snapToGrid w:val="0"/>
              <w:spacing w:line="240" w:lineRule="atLeast"/>
              <w:ind w:left="-3" w:leftChars="-1" w:firstLine="1"/>
              <w:jc w:val="center"/>
              <w:rPr>
                <w:rFonts w:hAnsi="宋体"/>
                <w:sz w:val="21"/>
                <w:szCs w:val="21"/>
              </w:rPr>
            </w:pPr>
            <w:r>
              <w:rPr>
                <w:rFonts w:hint="eastAsia" w:hAnsi="宋体"/>
                <w:sz w:val="21"/>
                <w:szCs w:val="21"/>
              </w:rPr>
              <w:t>文件资料传递/会议交流</w:t>
            </w:r>
          </w:p>
        </w:tc>
        <w:tc>
          <w:tcPr>
            <w:tcW w:w="1417" w:type="dxa"/>
            <w:vAlign w:val="center"/>
          </w:tcPr>
          <w:p w14:paraId="737BC5B4">
            <w:pPr>
              <w:pStyle w:val="37"/>
              <w:spacing w:line="240" w:lineRule="exact"/>
              <w:jc w:val="center"/>
              <w:rPr>
                <w:rFonts w:hAnsi="宋体"/>
                <w:sz w:val="21"/>
                <w:szCs w:val="21"/>
              </w:rPr>
            </w:pPr>
            <w:r>
              <w:rPr>
                <w:rFonts w:hint="eastAsia" w:hAnsi="宋体"/>
                <w:sz w:val="21"/>
                <w:szCs w:val="21"/>
              </w:rPr>
              <w:t>各部门</w:t>
            </w:r>
          </w:p>
        </w:tc>
        <w:tc>
          <w:tcPr>
            <w:tcW w:w="1418" w:type="dxa"/>
            <w:vAlign w:val="center"/>
          </w:tcPr>
          <w:p w14:paraId="00610BE2">
            <w:pPr>
              <w:pStyle w:val="37"/>
              <w:snapToGrid w:val="0"/>
              <w:spacing w:line="240" w:lineRule="atLeast"/>
              <w:ind w:left="-3" w:leftChars="-1" w:firstLine="1"/>
              <w:jc w:val="center"/>
              <w:rPr>
                <w:rFonts w:hAnsi="宋体"/>
                <w:sz w:val="21"/>
                <w:szCs w:val="21"/>
              </w:rPr>
            </w:pPr>
            <w:r>
              <w:rPr>
                <w:rFonts w:hint="eastAsia" w:hAnsi="宋体"/>
                <w:sz w:val="21"/>
                <w:szCs w:val="21"/>
              </w:rPr>
              <w:t>工作签报单</w:t>
            </w:r>
          </w:p>
        </w:tc>
      </w:tr>
    </w:tbl>
    <w:p w14:paraId="37EE03D2">
      <w:pPr>
        <w:pStyle w:val="37"/>
        <w:snapToGrid w:val="0"/>
        <w:spacing w:line="240" w:lineRule="atLeast"/>
        <w:ind w:left="-3" w:leftChars="-1" w:firstLine="1"/>
        <w:jc w:val="center"/>
        <w:rPr>
          <w:rFonts w:hAnsi="宋体"/>
          <w:sz w:val="21"/>
          <w:szCs w:val="21"/>
        </w:rPr>
      </w:pPr>
    </w:p>
    <w:p w14:paraId="29590E03">
      <w:pPr>
        <w:pStyle w:val="3"/>
        <w:spacing w:before="120" w:beforeLines="50" w:after="120" w:afterLines="50" w:line="400" w:lineRule="exact"/>
        <w:rPr>
          <w:rFonts w:ascii="宋体" w:hAnsi="宋体" w:eastAsia="宋体"/>
          <w:sz w:val="21"/>
          <w:szCs w:val="21"/>
        </w:rPr>
      </w:pPr>
      <w:bookmarkStart w:id="92" w:name="_Toc509845145"/>
      <w:bookmarkStart w:id="93" w:name="_Toc521509457"/>
      <w:bookmarkStart w:id="94" w:name="_Toc509844123"/>
      <w:bookmarkStart w:id="95" w:name="_Toc509844813"/>
      <w:r>
        <w:rPr>
          <w:rFonts w:hint="eastAsia" w:ascii="宋体" w:hAnsi="宋体" w:eastAsia="宋体"/>
          <w:sz w:val="24"/>
          <w:szCs w:val="24"/>
        </w:rPr>
        <w:t>7.5 成文信息</w:t>
      </w:r>
      <w:bookmarkEnd w:id="92"/>
      <w:bookmarkEnd w:id="93"/>
      <w:bookmarkEnd w:id="94"/>
      <w:bookmarkEnd w:id="95"/>
      <w:r>
        <w:rPr>
          <w:rFonts w:hint="eastAsia" w:ascii="宋体" w:hAnsi="宋体" w:eastAsia="宋体"/>
          <w:sz w:val="21"/>
          <w:szCs w:val="21"/>
        </w:rPr>
        <w:t xml:space="preserve"> </w:t>
      </w:r>
    </w:p>
    <w:p w14:paraId="416EAF7C">
      <w:pPr>
        <w:widowControl/>
        <w:spacing w:line="400" w:lineRule="exact"/>
        <w:rPr>
          <w:rFonts w:ascii="宋体" w:hAnsi="宋体"/>
          <w:sz w:val="21"/>
          <w:szCs w:val="21"/>
        </w:rPr>
      </w:pPr>
      <w:r>
        <w:rPr>
          <w:rFonts w:hint="eastAsia" w:ascii="宋体" w:hAnsi="宋体"/>
          <w:sz w:val="21"/>
          <w:szCs w:val="21"/>
        </w:rPr>
        <w:t xml:space="preserve">7.5.1 总则 </w:t>
      </w:r>
    </w:p>
    <w:p w14:paraId="41AFB976">
      <w:pPr>
        <w:spacing w:line="400" w:lineRule="exact"/>
        <w:ind w:firstLine="420" w:firstLineChars="200"/>
        <w:rPr>
          <w:rFonts w:ascii="宋体" w:hAnsi="宋体"/>
          <w:sz w:val="21"/>
          <w:szCs w:val="21"/>
        </w:rPr>
      </w:pPr>
      <w:r>
        <w:rPr>
          <w:rFonts w:hint="eastAsia" w:ascii="宋体" w:hAnsi="宋体"/>
          <w:sz w:val="21"/>
          <w:szCs w:val="21"/>
        </w:rPr>
        <w:t>公司</w:t>
      </w:r>
      <w:r>
        <w:rPr>
          <w:rFonts w:ascii="宋体" w:hAnsi="宋体"/>
          <w:sz w:val="21"/>
          <w:szCs w:val="21"/>
        </w:rPr>
        <w:t>的质量管理体系包括：</w:t>
      </w:r>
    </w:p>
    <w:p w14:paraId="75E435ED">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)GJB9001C-2017标准</w:t>
      </w:r>
      <w:r>
        <w:rPr>
          <w:rFonts w:ascii="宋体" w:hAnsi="宋体"/>
          <w:sz w:val="21"/>
          <w:szCs w:val="21"/>
        </w:rPr>
        <w:t>要求的</w:t>
      </w:r>
      <w:r>
        <w:rPr>
          <w:rFonts w:hint="eastAsia" w:ascii="宋体" w:hAnsi="宋体"/>
          <w:sz w:val="21"/>
          <w:szCs w:val="21"/>
        </w:rPr>
        <w:t>成文信息</w:t>
      </w:r>
      <w:r>
        <w:rPr>
          <w:rFonts w:ascii="宋体" w:hAnsi="宋体"/>
          <w:sz w:val="21"/>
          <w:szCs w:val="21"/>
        </w:rPr>
        <w:t>；</w:t>
      </w:r>
    </w:p>
    <w:p w14:paraId="24598216">
      <w:pPr>
        <w:spacing w:line="400" w:lineRule="exact"/>
        <w:ind w:firstLine="420" w:firstLineChars="200"/>
        <w:rPr>
          <w:rFonts w:ascii="宋体" w:hAnsi="宋体"/>
          <w:sz w:val="21"/>
          <w:szCs w:val="21"/>
        </w:rPr>
      </w:pPr>
      <w:r>
        <w:rPr>
          <w:rFonts w:ascii="宋体" w:hAnsi="宋体"/>
          <w:sz w:val="21"/>
          <w:szCs w:val="21"/>
        </w:rPr>
        <w:t>b)公司确定的为确保质量管理体系有效性所需的支持性文件</w:t>
      </w:r>
      <w:r>
        <w:rPr>
          <w:rFonts w:hint="eastAsia" w:ascii="宋体" w:hAnsi="宋体"/>
          <w:sz w:val="21"/>
          <w:szCs w:val="21"/>
        </w:rPr>
        <w:t>。</w:t>
      </w:r>
    </w:p>
    <w:p w14:paraId="05401F9B">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公司的质量管理体系的成文信息，采用质量手册、程序文件、作业指导书和记录等文件形式。</w:t>
      </w:r>
    </w:p>
    <w:p w14:paraId="60AAD0C4">
      <w:pPr>
        <w:widowControl/>
        <w:spacing w:line="400" w:lineRule="exact"/>
        <w:rPr>
          <w:rFonts w:ascii="宋体" w:hAnsi="宋体"/>
          <w:sz w:val="21"/>
          <w:szCs w:val="21"/>
        </w:rPr>
      </w:pPr>
      <w:r>
        <w:rPr>
          <w:rFonts w:hint="eastAsia" w:ascii="宋体" w:hAnsi="宋体"/>
          <w:sz w:val="21"/>
          <w:szCs w:val="21"/>
        </w:rPr>
        <w:t xml:space="preserve">公司质量管理体系文件包括： </w:t>
      </w:r>
    </w:p>
    <w:p w14:paraId="29ACDC4B">
      <w:pPr>
        <w:widowControl/>
        <w:spacing w:line="400" w:lineRule="exact"/>
        <w:ind w:firstLine="420" w:firstLineChars="200"/>
        <w:rPr>
          <w:rFonts w:ascii="宋体" w:hAnsi="宋体"/>
          <w:sz w:val="21"/>
          <w:szCs w:val="21"/>
        </w:rPr>
      </w:pPr>
      <w:r>
        <w:rPr>
          <w:rFonts w:hint="eastAsia" w:ascii="宋体" w:hAnsi="宋体"/>
          <w:sz w:val="21"/>
          <w:szCs w:val="21"/>
        </w:rPr>
        <w:t xml:space="preserve">a)质量手册，质量管理部组织编制公司质量管理体系手册，经总经理批准后发布实施。质量手册的内容包括：公司的质量方针；公司组织机构；质量管理体系的范围和说明；引用质量管理体系的程序文件；质量管理体系过程及其相互关系的描述；有关质量手册修改和控制的规定等。 </w:t>
      </w:r>
    </w:p>
    <w:p w14:paraId="24D031D9">
      <w:pPr>
        <w:widowControl/>
        <w:spacing w:line="400" w:lineRule="exact"/>
        <w:ind w:firstLine="420" w:firstLineChars="200"/>
        <w:rPr>
          <w:rFonts w:ascii="宋体" w:hAnsi="宋体"/>
          <w:sz w:val="21"/>
          <w:szCs w:val="21"/>
        </w:rPr>
      </w:pPr>
      <w:r>
        <w:rPr>
          <w:rFonts w:hint="eastAsia" w:ascii="宋体" w:hAnsi="宋体"/>
          <w:sz w:val="21"/>
          <w:szCs w:val="21"/>
        </w:rPr>
        <w:t xml:space="preserve">b)质量管理体系程序文件（见附录E：《程序文件目录》）。 </w:t>
      </w:r>
    </w:p>
    <w:p w14:paraId="5A932BB8">
      <w:pPr>
        <w:widowControl/>
        <w:spacing w:line="400" w:lineRule="exact"/>
        <w:ind w:firstLine="420" w:firstLineChars="200"/>
        <w:rPr>
          <w:rFonts w:ascii="宋体" w:hAnsi="宋体"/>
          <w:sz w:val="21"/>
          <w:szCs w:val="21"/>
        </w:rPr>
      </w:pPr>
      <w:r>
        <w:rPr>
          <w:rFonts w:hint="eastAsia" w:ascii="宋体" w:hAnsi="宋体"/>
          <w:sz w:val="21"/>
          <w:szCs w:val="21"/>
        </w:rPr>
        <w:t>c)作业文件（程序文件的支持性文件，是为确保有效策划、实施和控制有关过程，对管理体系活动中的作业细节做出的具体规定），如光盘刻录管理指导书、管理制度等。</w:t>
      </w:r>
    </w:p>
    <w:p w14:paraId="7605A59D">
      <w:pPr>
        <w:widowControl/>
        <w:spacing w:line="400" w:lineRule="exact"/>
        <w:ind w:firstLine="420" w:firstLineChars="200"/>
        <w:rPr>
          <w:rFonts w:ascii="宋体" w:hAnsi="宋体"/>
          <w:sz w:val="21"/>
          <w:szCs w:val="21"/>
        </w:rPr>
      </w:pPr>
      <w:r>
        <w:rPr>
          <w:rFonts w:hint="eastAsia" w:ascii="宋体" w:hAnsi="宋体"/>
          <w:sz w:val="21"/>
          <w:szCs w:val="21"/>
        </w:rPr>
        <w:t>d)记录（为活动的完成及其结果提供证据的文件）。</w:t>
      </w:r>
    </w:p>
    <w:p w14:paraId="6FCA4776">
      <w:pPr>
        <w:widowControl/>
        <w:spacing w:line="400" w:lineRule="exact"/>
        <w:rPr>
          <w:rFonts w:ascii="宋体" w:hAnsi="宋体"/>
          <w:sz w:val="21"/>
          <w:szCs w:val="21"/>
        </w:rPr>
      </w:pPr>
      <w:r>
        <w:rPr>
          <w:rFonts w:hint="eastAsia" w:ascii="宋体" w:hAnsi="宋体"/>
          <w:sz w:val="21"/>
          <w:szCs w:val="21"/>
        </w:rPr>
        <w:t xml:space="preserve">7.5.2 创建和更新 </w:t>
      </w:r>
    </w:p>
    <w:p w14:paraId="7579F9AA">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质量体系文件控制程序》、《技术文件控制程序》，规定各类文件的管理要求；质量管理部负责对管理体系所要求的文件进行创建和更新，研发部负责对技术文件进行创建和更新，以确保适当的： </w:t>
      </w:r>
    </w:p>
    <w:p w14:paraId="10D7F55A">
      <w:pPr>
        <w:widowControl/>
        <w:spacing w:line="400" w:lineRule="exact"/>
        <w:ind w:firstLine="420" w:firstLineChars="200"/>
        <w:rPr>
          <w:rFonts w:ascii="宋体" w:hAnsi="宋体"/>
          <w:sz w:val="21"/>
          <w:szCs w:val="21"/>
        </w:rPr>
      </w:pPr>
      <w:r>
        <w:rPr>
          <w:rFonts w:hint="eastAsia" w:ascii="宋体" w:hAnsi="宋体"/>
          <w:sz w:val="21"/>
          <w:szCs w:val="21"/>
        </w:rPr>
        <w:t xml:space="preserve">a)进行标识和说明(如标题、日期、作者、索引编号)； </w:t>
      </w:r>
    </w:p>
    <w:p w14:paraId="3294EE04">
      <w:pPr>
        <w:widowControl/>
        <w:spacing w:line="400" w:lineRule="exact"/>
        <w:ind w:firstLine="420" w:firstLineChars="200"/>
        <w:rPr>
          <w:rFonts w:ascii="宋体" w:hAnsi="宋体"/>
          <w:sz w:val="21"/>
          <w:szCs w:val="21"/>
        </w:rPr>
      </w:pPr>
      <w:r>
        <w:rPr>
          <w:rFonts w:hint="eastAsia" w:ascii="宋体" w:hAnsi="宋体"/>
          <w:sz w:val="21"/>
          <w:szCs w:val="21"/>
        </w:rPr>
        <w:t xml:space="preserve">b)形式(如语言、软件版本、图表)和载体(如纸质的、电子的)； </w:t>
      </w:r>
    </w:p>
    <w:p w14:paraId="07A0E55F">
      <w:pPr>
        <w:widowControl/>
        <w:spacing w:line="400" w:lineRule="exact"/>
        <w:ind w:firstLine="420" w:firstLineChars="200"/>
        <w:rPr>
          <w:rFonts w:ascii="宋体" w:hAnsi="宋体"/>
          <w:sz w:val="21"/>
          <w:szCs w:val="21"/>
        </w:rPr>
      </w:pPr>
      <w:r>
        <w:rPr>
          <w:rFonts w:hint="eastAsia" w:ascii="宋体" w:hAnsi="宋体"/>
          <w:sz w:val="21"/>
          <w:szCs w:val="21"/>
        </w:rPr>
        <w:t xml:space="preserve">c)文件应进行评审和批准，以保持适宜性和充分性； </w:t>
      </w:r>
    </w:p>
    <w:p w14:paraId="1C083D09">
      <w:pPr>
        <w:widowControl/>
        <w:spacing w:line="400" w:lineRule="exact"/>
        <w:ind w:firstLine="422" w:firstLineChars="200"/>
        <w:rPr>
          <w:rFonts w:ascii="楷体" w:hAnsi="楷体" w:eastAsia="楷体"/>
          <w:b/>
          <w:sz w:val="21"/>
          <w:szCs w:val="21"/>
        </w:rPr>
      </w:pPr>
      <w:r>
        <w:rPr>
          <w:rFonts w:hint="eastAsia" w:ascii="楷体" w:hAnsi="楷体" w:eastAsia="楷体"/>
          <w:b/>
          <w:sz w:val="21"/>
          <w:szCs w:val="21"/>
        </w:rPr>
        <w:t>d)应确保技术文件和图样按有关规定（见《设计文件签署者职责和签署程序》）进行审签、工艺和质量会签、标准化检查。</w:t>
      </w:r>
    </w:p>
    <w:p w14:paraId="3DACA268">
      <w:pPr>
        <w:widowControl/>
        <w:spacing w:line="400" w:lineRule="exact"/>
        <w:rPr>
          <w:rFonts w:ascii="宋体" w:hAnsi="宋体"/>
          <w:sz w:val="21"/>
          <w:szCs w:val="21"/>
        </w:rPr>
      </w:pPr>
      <w:r>
        <w:rPr>
          <w:rFonts w:hint="eastAsia" w:ascii="宋体" w:hAnsi="宋体"/>
          <w:sz w:val="21"/>
          <w:szCs w:val="21"/>
        </w:rPr>
        <w:t xml:space="preserve">7.5.3 成文信息的控制 </w:t>
      </w:r>
    </w:p>
    <w:p w14:paraId="2A86FC6F">
      <w:pPr>
        <w:widowControl/>
        <w:spacing w:line="400" w:lineRule="exact"/>
        <w:rPr>
          <w:rFonts w:ascii="宋体" w:hAnsi="宋体"/>
          <w:sz w:val="21"/>
          <w:szCs w:val="21"/>
        </w:rPr>
      </w:pPr>
      <w:r>
        <w:rPr>
          <w:rFonts w:hint="eastAsia" w:ascii="宋体" w:hAnsi="宋体"/>
          <w:sz w:val="21"/>
          <w:szCs w:val="21"/>
        </w:rPr>
        <w:t xml:space="preserve">7.5.3.1 应控制质量管理体系和本标准所要求的成文信息，以确保： </w:t>
      </w:r>
    </w:p>
    <w:p w14:paraId="060FFEDB">
      <w:pPr>
        <w:widowControl/>
        <w:spacing w:line="400" w:lineRule="exact"/>
        <w:ind w:firstLine="420" w:firstLineChars="200"/>
        <w:rPr>
          <w:rFonts w:ascii="宋体" w:hAnsi="宋体"/>
          <w:sz w:val="21"/>
          <w:szCs w:val="21"/>
        </w:rPr>
      </w:pPr>
      <w:r>
        <w:rPr>
          <w:rFonts w:hint="eastAsia" w:ascii="宋体" w:hAnsi="宋体"/>
          <w:sz w:val="21"/>
          <w:szCs w:val="21"/>
        </w:rPr>
        <w:t xml:space="preserve">a)确定各类文件的分发范围，按要求发放文件，在需要的场合和时机，均可获得并适用； </w:t>
      </w:r>
    </w:p>
    <w:p w14:paraId="1C87FEC8">
      <w:pPr>
        <w:widowControl/>
        <w:spacing w:line="400" w:lineRule="exact"/>
        <w:ind w:firstLine="420" w:firstLineChars="200"/>
        <w:rPr>
          <w:rFonts w:ascii="宋体" w:hAnsi="宋体"/>
          <w:sz w:val="21"/>
          <w:szCs w:val="21"/>
        </w:rPr>
      </w:pPr>
      <w:r>
        <w:rPr>
          <w:rFonts w:hint="eastAsia" w:ascii="宋体" w:hAnsi="宋体"/>
          <w:sz w:val="21"/>
          <w:szCs w:val="21"/>
        </w:rPr>
        <w:t xml:space="preserve">b)予以妥善保护（如防止泄密、不当使用或缺失）； </w:t>
      </w:r>
    </w:p>
    <w:p w14:paraId="7B7892F5">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c)技术文件和图样协调一致，现行有效； </w:t>
      </w:r>
    </w:p>
    <w:p w14:paraId="01014946">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d)记录完整、可追溯，并能证明产品和服务满足要求的程度，记录应尽可能给出定量的数据或可进行等级差别评价的记录，涉及产品特性，尤其是重要特性，需要有实测数据表明产品特性达到的水平，这可以为产品符合性、产品质量水平、产品质量目标完成情况的评价及改进等提供信息； </w:t>
      </w:r>
    </w:p>
    <w:p w14:paraId="7F3ACFDA">
      <w:pPr>
        <w:widowControl/>
        <w:spacing w:line="400" w:lineRule="exact"/>
        <w:ind w:firstLine="420" w:firstLineChars="200"/>
        <w:rPr>
          <w:rFonts w:ascii="宋体" w:hAnsi="宋体"/>
          <w:bCs/>
          <w:sz w:val="21"/>
          <w:szCs w:val="21"/>
        </w:rPr>
      </w:pPr>
      <w:r>
        <w:rPr>
          <w:rFonts w:hint="eastAsia" w:ascii="楷体" w:hAnsi="楷体" w:eastAsia="楷体"/>
          <w:bCs/>
          <w:sz w:val="21"/>
          <w:szCs w:val="21"/>
        </w:rPr>
        <w:t>e）产品和服务质量形成过程中需要的文件和记录按规定归档。</w:t>
      </w:r>
      <w:r>
        <w:rPr>
          <w:rFonts w:hint="eastAsia" w:ascii="宋体" w:hAnsi="宋体"/>
          <w:bCs/>
          <w:sz w:val="21"/>
          <w:szCs w:val="21"/>
        </w:rPr>
        <w:t xml:space="preserve"> </w:t>
      </w:r>
    </w:p>
    <w:p w14:paraId="76DE79C8">
      <w:pPr>
        <w:widowControl/>
        <w:spacing w:line="400" w:lineRule="exact"/>
        <w:rPr>
          <w:rFonts w:ascii="宋体" w:hAnsi="宋体"/>
          <w:sz w:val="21"/>
          <w:szCs w:val="21"/>
        </w:rPr>
      </w:pPr>
      <w:r>
        <w:rPr>
          <w:rFonts w:hint="eastAsia" w:ascii="宋体" w:hAnsi="宋体"/>
          <w:sz w:val="21"/>
          <w:szCs w:val="21"/>
        </w:rPr>
        <w:t xml:space="preserve">7.5.3.2 为控制成文信息，适用时，组织应进行下列活动： </w:t>
      </w:r>
    </w:p>
    <w:p w14:paraId="32D3263C">
      <w:pPr>
        <w:widowControl/>
        <w:spacing w:line="400" w:lineRule="exact"/>
        <w:ind w:firstLine="420" w:firstLineChars="200"/>
        <w:rPr>
          <w:rFonts w:ascii="宋体" w:hAnsi="宋体"/>
          <w:sz w:val="21"/>
          <w:szCs w:val="21"/>
        </w:rPr>
      </w:pPr>
      <w:r>
        <w:rPr>
          <w:rFonts w:hint="eastAsia" w:ascii="宋体" w:hAnsi="宋体"/>
          <w:sz w:val="21"/>
          <w:szCs w:val="21"/>
        </w:rPr>
        <w:t xml:space="preserve">a)分发、访问、检索和使用； </w:t>
      </w:r>
    </w:p>
    <w:p w14:paraId="25C135D1">
      <w:pPr>
        <w:widowControl/>
        <w:spacing w:line="400" w:lineRule="exact"/>
        <w:ind w:firstLine="420" w:firstLineChars="200"/>
        <w:rPr>
          <w:rFonts w:ascii="宋体" w:hAnsi="宋体"/>
          <w:sz w:val="21"/>
          <w:szCs w:val="21"/>
        </w:rPr>
      </w:pPr>
      <w:r>
        <w:rPr>
          <w:rFonts w:hint="eastAsia" w:ascii="宋体" w:hAnsi="宋体"/>
          <w:sz w:val="21"/>
          <w:szCs w:val="21"/>
        </w:rPr>
        <w:t xml:space="preserve">b)存储和防护，包括保持可读性； </w:t>
      </w:r>
    </w:p>
    <w:p w14:paraId="7B64714D">
      <w:pPr>
        <w:widowControl/>
        <w:spacing w:line="400" w:lineRule="exact"/>
        <w:ind w:firstLine="420" w:firstLineChars="200"/>
        <w:rPr>
          <w:rFonts w:ascii="宋体" w:hAnsi="宋体"/>
          <w:sz w:val="21"/>
          <w:szCs w:val="21"/>
        </w:rPr>
      </w:pPr>
      <w:r>
        <w:rPr>
          <w:rFonts w:hint="eastAsia" w:ascii="宋体" w:hAnsi="宋体"/>
          <w:sz w:val="21"/>
          <w:szCs w:val="21"/>
        </w:rPr>
        <w:t xml:space="preserve">c)更改控制（如版本控制）； </w:t>
      </w:r>
    </w:p>
    <w:p w14:paraId="33F98E92">
      <w:pPr>
        <w:widowControl/>
        <w:spacing w:line="400" w:lineRule="exact"/>
        <w:ind w:firstLine="420" w:firstLineChars="200"/>
        <w:rPr>
          <w:rFonts w:ascii="宋体" w:hAnsi="宋体"/>
          <w:sz w:val="21"/>
          <w:szCs w:val="21"/>
        </w:rPr>
      </w:pPr>
      <w:r>
        <w:rPr>
          <w:rFonts w:hint="eastAsia" w:ascii="宋体" w:hAnsi="宋体"/>
          <w:sz w:val="21"/>
          <w:szCs w:val="21"/>
        </w:rPr>
        <w:t xml:space="preserve">d)保留和处置，若出于某种目的而保留作废文件时，应对这些文件标以“作废仅供参考”标识； </w:t>
      </w:r>
    </w:p>
    <w:p w14:paraId="12A20621">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e)防止作废文件的非预期使用，如有可能，应考虑将作废文件从所有发放和使用场所及时收回隔离或进行处置。</w:t>
      </w:r>
    </w:p>
    <w:p w14:paraId="4D2F1AA8">
      <w:pPr>
        <w:widowControl/>
        <w:spacing w:line="400" w:lineRule="exact"/>
        <w:ind w:firstLine="420" w:firstLineChars="200"/>
        <w:rPr>
          <w:rFonts w:ascii="宋体" w:hAnsi="宋体"/>
          <w:sz w:val="21"/>
          <w:szCs w:val="21"/>
        </w:rPr>
      </w:pPr>
      <w:r>
        <w:rPr>
          <w:rFonts w:hint="eastAsia" w:ascii="宋体" w:hAnsi="宋体"/>
          <w:sz w:val="21"/>
          <w:szCs w:val="21"/>
        </w:rPr>
        <w:t xml:space="preserve">对于公司确定的策划和运行质量管理体系所必需的来自外部的成文信息（如相关的法律法规和标准等），公司应进行适当识别，并予以控制。涉及质量方面的由质量管理部负责控制，涉及技术方面的由研发部负责控制。其他则由综合行政部负责控制。 </w:t>
      </w:r>
    </w:p>
    <w:p w14:paraId="2835CBAF">
      <w:pPr>
        <w:widowControl/>
        <w:spacing w:line="400" w:lineRule="exact"/>
        <w:ind w:firstLine="420" w:firstLineChars="200"/>
        <w:rPr>
          <w:rFonts w:ascii="宋体" w:hAnsi="宋体"/>
          <w:sz w:val="21"/>
          <w:szCs w:val="21"/>
        </w:rPr>
      </w:pPr>
      <w:r>
        <w:rPr>
          <w:rFonts w:hint="eastAsia" w:ascii="宋体" w:hAnsi="宋体"/>
          <w:sz w:val="21"/>
          <w:szCs w:val="21"/>
        </w:rPr>
        <w:t xml:space="preserve">公司制订并实施《记录控制程序》，对所保留的、作为符合性证据的成文信息应予以保护，防止非预期的更改。 </w:t>
      </w:r>
    </w:p>
    <w:p w14:paraId="4E9D0BB3">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文件和记录的保留期限，应满足顾客要求和法律法规要求，与产品和服务的寿命周期相适应。</w:t>
      </w:r>
    </w:p>
    <w:p w14:paraId="2123AC9C">
      <w:pPr>
        <w:pStyle w:val="3"/>
        <w:spacing w:before="120" w:beforeLines="50" w:after="120" w:afterLines="50" w:line="400" w:lineRule="exact"/>
        <w:rPr>
          <w:rFonts w:ascii="宋体" w:hAnsi="宋体" w:eastAsia="宋体"/>
          <w:sz w:val="21"/>
          <w:szCs w:val="21"/>
        </w:rPr>
      </w:pPr>
      <w:bookmarkStart w:id="96" w:name="_Toc521509458"/>
      <w:bookmarkStart w:id="97" w:name="_Toc509844814"/>
      <w:bookmarkStart w:id="98" w:name="_Toc509844124"/>
      <w:bookmarkStart w:id="99" w:name="_Toc509845146"/>
      <w:r>
        <w:rPr>
          <w:rFonts w:hint="eastAsia" w:ascii="宋体" w:hAnsi="宋体" w:eastAsia="宋体"/>
          <w:sz w:val="24"/>
          <w:szCs w:val="24"/>
        </w:rPr>
        <w:t>7.6 质量信息</w:t>
      </w:r>
      <w:bookmarkEnd w:id="96"/>
      <w:bookmarkEnd w:id="97"/>
      <w:bookmarkEnd w:id="98"/>
      <w:bookmarkEnd w:id="99"/>
      <w:r>
        <w:rPr>
          <w:rFonts w:hint="eastAsia" w:ascii="宋体" w:hAnsi="宋体" w:eastAsia="宋体"/>
          <w:sz w:val="24"/>
          <w:szCs w:val="24"/>
        </w:rPr>
        <w:t xml:space="preserve"> </w:t>
      </w:r>
    </w:p>
    <w:p w14:paraId="42D15B18">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产品和服务的质量信息管理应满足相关法律法规和顾客的需求。</w:t>
      </w:r>
    </w:p>
    <w:p w14:paraId="0A53C966">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质量信息是保证产品和服务质量以及质量管理体系有效性的重要资源之一，也是循证决策依据的质量管理原则应用的基础。同时顾客也希望通过质量信息的获取，加强对产品和服务质量的监督以提高对产品和服务质量的信心，并增强对产品和服务质量的了解，有助于产品和服务的正确使用和维护。质量信息管理应按以下要求进行控制： </w:t>
      </w:r>
    </w:p>
    <w:p w14:paraId="4189EEC4">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a)首先确定对质量信息的需求，质量信息包括与产品和服务有关的信息及与管理相关的信息，特别要考虑顾客对产品和服务质量信息的要求，包括原材料采购、验证的信息；外包过程控制的信息；产品制造过程质量符合性的信息；产品试验过程的信息；产品使用、维护、保养的信息；直接使用方反馈的信息；有关故障、不合格的信息等； </w:t>
      </w:r>
    </w:p>
    <w:p w14:paraId="06C4D5D2">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b)建立质量信息管理制度，公司制定并实施《质量信息管理程序》（HY/CX- 17</w:t>
      </w:r>
      <w:r>
        <w:rPr>
          <w:rFonts w:ascii="楷体" w:hAnsi="楷体" w:eastAsia="楷体"/>
          <w:bCs/>
          <w:sz w:val="21"/>
          <w:szCs w:val="21"/>
        </w:rPr>
        <w:t>-2021</w:t>
      </w:r>
      <w:r>
        <w:rPr>
          <w:rFonts w:hint="eastAsia" w:ascii="楷体" w:hAnsi="楷体" w:eastAsia="楷体"/>
          <w:bCs/>
          <w:sz w:val="21"/>
          <w:szCs w:val="21"/>
        </w:rPr>
        <w:t>），由质量管理部归口管理，公司各部门按质量管理职责要求，收集职责范围内的相应质量信息，并对其进行整理、汇总及存档、上报；</w:t>
      </w:r>
    </w:p>
    <w:p w14:paraId="4154F47F">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c)</w:t>
      </w:r>
      <w:r>
        <w:rPr>
          <w:rFonts w:hint="eastAsia" w:ascii="宋体"/>
          <w:bCs/>
          <w:sz w:val="24"/>
        </w:rPr>
        <w:t xml:space="preserve"> </w:t>
      </w:r>
      <w:r>
        <w:rPr>
          <w:rFonts w:hint="eastAsia" w:ascii="楷体" w:hAnsi="楷体" w:eastAsia="楷体"/>
          <w:bCs/>
          <w:sz w:val="21"/>
          <w:szCs w:val="21"/>
        </w:rPr>
        <w:t>建立质量信息管理系统</w:t>
      </w:r>
    </w:p>
    <w:p w14:paraId="55D6C41D">
      <w:pPr>
        <w:spacing w:line="400" w:lineRule="exact"/>
        <w:ind w:left="2" w:firstLine="420" w:firstLineChars="200"/>
        <w:rPr>
          <w:rFonts w:ascii="楷体" w:hAnsi="楷体" w:eastAsia="楷体"/>
          <w:bCs/>
          <w:sz w:val="21"/>
          <w:szCs w:val="21"/>
        </w:rPr>
      </w:pPr>
      <w:r>
        <w:rPr>
          <w:rFonts w:hint="eastAsia" w:ascii="楷体" w:hAnsi="楷体" w:eastAsia="楷体"/>
          <w:bCs/>
          <w:sz w:val="21"/>
          <w:szCs w:val="21"/>
        </w:rPr>
        <w:t>在《质量信息管理程序》中规定质量信息的归口主管职责及相关部门的管理职责。</w:t>
      </w:r>
    </w:p>
    <w:p w14:paraId="06662FD1">
      <w:pPr>
        <w:spacing w:line="400" w:lineRule="exact"/>
        <w:ind w:firstLine="422" w:firstLineChars="201"/>
        <w:rPr>
          <w:rFonts w:ascii="楷体" w:hAnsi="楷体" w:eastAsia="楷体"/>
          <w:bCs/>
          <w:color w:val="FF0000"/>
          <w:sz w:val="21"/>
          <w:szCs w:val="21"/>
        </w:rPr>
      </w:pPr>
      <w:r>
        <w:rPr>
          <w:rFonts w:hint="eastAsia" w:ascii="楷体" w:hAnsi="楷体" w:eastAsia="楷体"/>
          <w:bCs/>
          <w:sz w:val="21"/>
          <w:szCs w:val="21"/>
        </w:rPr>
        <w:t>质量管理部是质量信息的归口管理部门；公司各部门收集的相应质量信息，整理汇总至质量管理部；质量管理部定期对公司质量信息进行统计分析，并传递至相关部门，举一反三；对异常质量信息及时报质量管理部进行分析、改进，制定改进计划并实施，并对改进计划实施情况及效果进行跟踪验证，实施闭环管理。质量信息是知识的一部分，可按7.1.6参考实施</w:t>
      </w:r>
      <w:r>
        <w:rPr>
          <w:rFonts w:hint="eastAsia" w:ascii="宋体"/>
          <w:bCs/>
          <w:sz w:val="24"/>
        </w:rPr>
        <w:t>。</w:t>
      </w:r>
    </w:p>
    <w:p w14:paraId="7BAC2CF7">
      <w:pPr>
        <w:widowControl/>
        <w:spacing w:line="400" w:lineRule="exact"/>
        <w:ind w:firstLine="420" w:firstLineChars="200"/>
        <w:rPr>
          <w:rFonts w:ascii="宋体" w:hAnsi="宋体"/>
          <w:bCs/>
          <w:color w:val="FF0000"/>
          <w:sz w:val="21"/>
          <w:szCs w:val="21"/>
        </w:rPr>
      </w:pPr>
      <w:r>
        <w:rPr>
          <w:rFonts w:hint="eastAsia" w:ascii="楷体" w:hAnsi="楷体" w:eastAsia="楷体"/>
          <w:bCs/>
          <w:sz w:val="21"/>
          <w:szCs w:val="21"/>
        </w:rPr>
        <w:t>d)确保对质量信息进行准确收集、传递、处理、贮存和应用；</w:t>
      </w:r>
      <w:r>
        <w:rPr>
          <w:rFonts w:hint="eastAsia" w:ascii="宋体" w:hAnsi="宋体"/>
          <w:bCs/>
          <w:color w:val="FF0000"/>
          <w:sz w:val="21"/>
          <w:szCs w:val="21"/>
        </w:rPr>
        <w:t xml:space="preserve"> </w:t>
      </w:r>
    </w:p>
    <w:p w14:paraId="4BC04B8A">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e)各对口主管部门应建立可靠的与顾客进行质量信息沟通的渠道，在向顾客及时传递其所需质量信息的同时，也要收集顾客对产品和管理反馈的信息。</w:t>
      </w:r>
    </w:p>
    <w:p w14:paraId="72AC38B7">
      <w:pPr>
        <w:widowControl/>
        <w:spacing w:line="400" w:lineRule="exact"/>
        <w:ind w:firstLine="420" w:firstLineChars="200"/>
        <w:rPr>
          <w:rFonts w:ascii="楷体" w:hAnsi="楷体" w:eastAsia="楷体"/>
          <w:bCs/>
          <w:sz w:val="21"/>
          <w:szCs w:val="21"/>
        </w:rPr>
      </w:pPr>
    </w:p>
    <w:p w14:paraId="168B64D6">
      <w:pPr>
        <w:widowControl/>
        <w:spacing w:line="400" w:lineRule="exact"/>
        <w:ind w:firstLine="422" w:firstLineChars="200"/>
        <w:rPr>
          <w:rFonts w:ascii="楷体" w:hAnsi="楷体" w:eastAsia="楷体"/>
          <w:b/>
          <w:sz w:val="21"/>
          <w:szCs w:val="21"/>
        </w:rPr>
      </w:pPr>
    </w:p>
    <w:p w14:paraId="77B4E581">
      <w:pPr>
        <w:widowControl/>
        <w:spacing w:line="400" w:lineRule="exact"/>
        <w:ind w:firstLine="420" w:firstLineChars="200"/>
        <w:rPr>
          <w:rFonts w:ascii="宋体" w:hAnsi="宋体"/>
          <w:sz w:val="21"/>
          <w:szCs w:val="21"/>
        </w:rPr>
      </w:pPr>
    </w:p>
    <w:p w14:paraId="7E6C1792">
      <w:pPr>
        <w:widowControl/>
        <w:spacing w:line="400" w:lineRule="exact"/>
        <w:ind w:firstLine="420" w:firstLineChars="200"/>
        <w:rPr>
          <w:rFonts w:ascii="宋体" w:hAnsi="宋体"/>
          <w:sz w:val="21"/>
          <w:szCs w:val="21"/>
        </w:rPr>
        <w:sectPr>
          <w:pgSz w:w="11906" w:h="16838"/>
          <w:pgMar w:top="1418" w:right="1418" w:bottom="1418" w:left="1701" w:header="851" w:footer="992" w:gutter="0"/>
          <w:cols w:space="720" w:num="1"/>
          <w:docGrid w:linePitch="312" w:charSpace="0"/>
        </w:sectPr>
      </w:pPr>
    </w:p>
    <w:p w14:paraId="4B209F39">
      <w:pPr>
        <w:pStyle w:val="2"/>
        <w:spacing w:line="400" w:lineRule="exact"/>
        <w:rPr>
          <w:rFonts w:ascii="宋体" w:hAnsi="宋体"/>
          <w:sz w:val="28"/>
          <w:szCs w:val="28"/>
        </w:rPr>
      </w:pPr>
      <w:bookmarkStart w:id="100" w:name="_Toc509844125"/>
      <w:bookmarkStart w:id="101" w:name="_Toc509844815"/>
      <w:bookmarkStart w:id="102" w:name="_Toc509845147"/>
      <w:bookmarkStart w:id="103" w:name="_Toc521509459"/>
      <w:r>
        <w:rPr>
          <w:rFonts w:hint="eastAsia" w:ascii="宋体" w:hAnsi="宋体"/>
          <w:sz w:val="28"/>
          <w:szCs w:val="28"/>
        </w:rPr>
        <w:t>8运行</w:t>
      </w:r>
      <w:bookmarkEnd w:id="100"/>
      <w:bookmarkEnd w:id="101"/>
      <w:bookmarkEnd w:id="102"/>
      <w:bookmarkEnd w:id="103"/>
    </w:p>
    <w:p w14:paraId="223A5364">
      <w:pPr>
        <w:pStyle w:val="3"/>
        <w:spacing w:before="120" w:beforeLines="50" w:after="120" w:afterLines="50" w:line="400" w:lineRule="exact"/>
        <w:rPr>
          <w:rFonts w:ascii="宋体" w:hAnsi="宋体" w:eastAsia="宋体" w:cs="Arial"/>
          <w:sz w:val="21"/>
          <w:szCs w:val="21"/>
        </w:rPr>
      </w:pPr>
      <w:bookmarkStart w:id="104" w:name="_Toc509844126"/>
      <w:bookmarkStart w:id="105" w:name="_Toc509845148"/>
      <w:bookmarkStart w:id="106" w:name="_Toc509844816"/>
      <w:bookmarkStart w:id="107" w:name="_Toc521509460"/>
      <w:r>
        <w:rPr>
          <w:rFonts w:hint="eastAsia" w:ascii="宋体" w:hAnsi="宋体" w:eastAsia="宋体"/>
          <w:sz w:val="24"/>
          <w:szCs w:val="24"/>
        </w:rPr>
        <w:t>8.1 运行的策划和控制</w:t>
      </w:r>
      <w:bookmarkEnd w:id="104"/>
      <w:bookmarkEnd w:id="105"/>
      <w:bookmarkEnd w:id="106"/>
      <w:bookmarkEnd w:id="107"/>
    </w:p>
    <w:p w14:paraId="2228B31F">
      <w:pPr>
        <w:spacing w:line="400" w:lineRule="exact"/>
        <w:ind w:firstLine="420" w:firstLineChars="200"/>
        <w:rPr>
          <w:rFonts w:ascii="宋体" w:hAnsi="宋体"/>
          <w:sz w:val="21"/>
          <w:szCs w:val="21"/>
        </w:rPr>
      </w:pPr>
      <w:r>
        <w:rPr>
          <w:rFonts w:hint="eastAsia" w:ascii="宋体" w:hAnsi="宋体"/>
          <w:sz w:val="21"/>
          <w:szCs w:val="21"/>
        </w:rPr>
        <w:t>为满足产品和服务提供的要求，并实施第</w:t>
      </w:r>
      <w:r>
        <w:rPr>
          <w:rFonts w:ascii="宋体" w:hAnsi="宋体"/>
          <w:sz w:val="21"/>
          <w:szCs w:val="21"/>
        </w:rPr>
        <w:t>6</w:t>
      </w:r>
      <w:r>
        <w:rPr>
          <w:rFonts w:hint="eastAsia" w:ascii="宋体" w:hAnsi="宋体"/>
          <w:sz w:val="21"/>
          <w:szCs w:val="21"/>
        </w:rPr>
        <w:t>章所确定的措施，公司制定并实施《产品和服务实现策划、设计和开发控制程序》，由研发部主管，生产运维部、质量管理部等部门协作配合，并通过以下措施对所需的过程</w:t>
      </w:r>
      <w:r>
        <w:rPr>
          <w:rFonts w:ascii="宋体" w:hAnsi="宋体"/>
          <w:sz w:val="21"/>
          <w:szCs w:val="21"/>
        </w:rPr>
        <w:t>(</w:t>
      </w:r>
      <w:r>
        <w:rPr>
          <w:rFonts w:hint="eastAsia" w:ascii="宋体" w:hAnsi="宋体"/>
          <w:sz w:val="21"/>
          <w:szCs w:val="21"/>
        </w:rPr>
        <w:t>见</w:t>
      </w:r>
      <w:r>
        <w:rPr>
          <w:rFonts w:ascii="宋体" w:hAnsi="宋体"/>
          <w:sz w:val="21"/>
          <w:szCs w:val="21"/>
        </w:rPr>
        <w:t>4.4)</w:t>
      </w:r>
      <w:r>
        <w:rPr>
          <w:rFonts w:hint="eastAsia" w:ascii="宋体" w:hAnsi="宋体"/>
          <w:sz w:val="21"/>
          <w:szCs w:val="21"/>
        </w:rPr>
        <w:t>进行策划、实施和控制：</w:t>
      </w:r>
    </w:p>
    <w:p w14:paraId="6C56118A">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)确定产品和服务的要求，包括产品标准、质量</w:t>
      </w:r>
      <w:r>
        <w:rPr>
          <w:rFonts w:hint="eastAsia" w:ascii="宋体" w:hAnsi="宋体"/>
          <w:sz w:val="21"/>
          <w:szCs w:val="21"/>
        </w:rPr>
        <w:t>要求</w:t>
      </w:r>
      <w:r>
        <w:rPr>
          <w:rFonts w:ascii="宋体" w:hAnsi="宋体"/>
          <w:sz w:val="21"/>
          <w:szCs w:val="21"/>
        </w:rPr>
        <w:t>等</w:t>
      </w:r>
      <w:r>
        <w:rPr>
          <w:rFonts w:hint="eastAsia" w:ascii="宋体" w:hAnsi="宋体"/>
          <w:sz w:val="21"/>
          <w:szCs w:val="21"/>
        </w:rPr>
        <w:t>；</w:t>
      </w:r>
    </w:p>
    <w:p w14:paraId="4BEF57C9">
      <w:pPr>
        <w:spacing w:line="400" w:lineRule="exact"/>
        <w:ind w:firstLine="315" w:firstLineChars="150"/>
        <w:rPr>
          <w:rFonts w:ascii="宋体" w:hAnsi="宋体"/>
          <w:sz w:val="21"/>
          <w:szCs w:val="21"/>
        </w:rPr>
      </w:pPr>
      <w:r>
        <w:rPr>
          <w:rFonts w:ascii="宋体" w:hAnsi="宋体"/>
          <w:sz w:val="21"/>
          <w:szCs w:val="21"/>
        </w:rPr>
        <w:t xml:space="preserve"> b)建立过程</w:t>
      </w:r>
      <w:r>
        <w:rPr>
          <w:rFonts w:hint="eastAsia" w:ascii="宋体" w:hAnsi="宋体"/>
          <w:sz w:val="21"/>
          <w:szCs w:val="21"/>
        </w:rPr>
        <w:t>控制准则：如软件文档编制控制准则；</w:t>
      </w:r>
      <w:r>
        <w:rPr>
          <w:rFonts w:ascii="宋体" w:hAnsi="宋体"/>
          <w:sz w:val="21"/>
          <w:szCs w:val="21"/>
        </w:rPr>
        <w:t>产品和服务</w:t>
      </w:r>
      <w:r>
        <w:rPr>
          <w:rFonts w:hint="eastAsia" w:ascii="宋体" w:hAnsi="宋体"/>
          <w:sz w:val="21"/>
          <w:szCs w:val="21"/>
        </w:rPr>
        <w:t>的接收准则</w:t>
      </w:r>
      <w:r>
        <w:rPr>
          <w:rFonts w:ascii="宋体" w:hAnsi="宋体"/>
          <w:sz w:val="21"/>
          <w:szCs w:val="21"/>
        </w:rPr>
        <w:t>：如</w:t>
      </w:r>
      <w:r>
        <w:rPr>
          <w:rFonts w:hint="eastAsia" w:ascii="宋体" w:hAnsi="宋体"/>
          <w:sz w:val="21"/>
          <w:szCs w:val="21"/>
        </w:rPr>
        <w:t>软件测试计划、硬件调试计划、硬件调试说明、软件测试用例、软件测试说明</w:t>
      </w:r>
      <w:r>
        <w:rPr>
          <w:rFonts w:ascii="宋体" w:hAnsi="宋体"/>
          <w:sz w:val="21"/>
          <w:szCs w:val="21"/>
        </w:rPr>
        <w:t>等</w:t>
      </w:r>
      <w:r>
        <w:rPr>
          <w:rFonts w:hint="eastAsia" w:ascii="宋体" w:hAnsi="宋体"/>
          <w:sz w:val="21"/>
          <w:szCs w:val="21"/>
        </w:rPr>
        <w:t>；</w:t>
      </w:r>
    </w:p>
    <w:p w14:paraId="2DA25992">
      <w:pPr>
        <w:spacing w:line="400" w:lineRule="exact"/>
        <w:ind w:firstLine="420" w:firstLineChars="200"/>
        <w:rPr>
          <w:rFonts w:ascii="宋体" w:hAnsi="宋体"/>
          <w:sz w:val="21"/>
          <w:szCs w:val="21"/>
        </w:rPr>
      </w:pPr>
      <w:r>
        <w:rPr>
          <w:rFonts w:ascii="宋体" w:hAnsi="宋体"/>
          <w:sz w:val="21"/>
          <w:szCs w:val="21"/>
        </w:rPr>
        <w:t>c)资源配置要求；</w:t>
      </w:r>
    </w:p>
    <w:p w14:paraId="6E61C1BA">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按照准则</w:t>
      </w:r>
      <w:r>
        <w:rPr>
          <w:rFonts w:ascii="宋体" w:hAnsi="宋体"/>
          <w:sz w:val="21"/>
          <w:szCs w:val="21"/>
        </w:rPr>
        <w:t>实施过程控制；</w:t>
      </w:r>
    </w:p>
    <w:p w14:paraId="010F6604">
      <w:pPr>
        <w:spacing w:line="400" w:lineRule="exact"/>
        <w:ind w:firstLine="420" w:firstLineChars="200"/>
        <w:rPr>
          <w:rFonts w:ascii="宋体" w:hAnsi="宋体"/>
          <w:sz w:val="21"/>
          <w:szCs w:val="21"/>
        </w:rPr>
      </w:pPr>
      <w:r>
        <w:rPr>
          <w:rFonts w:ascii="宋体" w:hAnsi="宋体"/>
          <w:sz w:val="21"/>
          <w:szCs w:val="21"/>
        </w:rPr>
        <w:t>e)在</w:t>
      </w:r>
      <w:r>
        <w:rPr>
          <w:rFonts w:hint="eastAsia" w:ascii="宋体" w:hAnsi="宋体"/>
          <w:sz w:val="21"/>
          <w:szCs w:val="21"/>
        </w:rPr>
        <w:t>必</w:t>
      </w:r>
      <w:r>
        <w:rPr>
          <w:rFonts w:ascii="宋体" w:hAnsi="宋体"/>
          <w:sz w:val="21"/>
          <w:szCs w:val="21"/>
        </w:rPr>
        <w:t>要的范围和程度上，确定并保持、保留过程</w:t>
      </w:r>
      <w:r>
        <w:rPr>
          <w:rFonts w:hint="eastAsia" w:ascii="宋体" w:hAnsi="宋体"/>
          <w:sz w:val="21"/>
          <w:szCs w:val="21"/>
        </w:rPr>
        <w:t>成文信息，确保</w:t>
      </w:r>
      <w:r>
        <w:rPr>
          <w:rFonts w:ascii="宋体" w:hAnsi="宋体"/>
          <w:sz w:val="21"/>
          <w:szCs w:val="21"/>
        </w:rPr>
        <w:t>过程已经按策划进行</w:t>
      </w:r>
      <w:r>
        <w:rPr>
          <w:rFonts w:hint="eastAsia" w:ascii="宋体" w:hAnsi="宋体"/>
          <w:sz w:val="21"/>
          <w:szCs w:val="21"/>
        </w:rPr>
        <w:t>，</w:t>
      </w:r>
      <w:r>
        <w:rPr>
          <w:rFonts w:ascii="宋体" w:hAnsi="宋体"/>
          <w:sz w:val="21"/>
          <w:szCs w:val="21"/>
        </w:rPr>
        <w:t>证明产品和服务符合要求</w:t>
      </w:r>
      <w:r>
        <w:rPr>
          <w:rFonts w:hint="eastAsia" w:ascii="宋体" w:hAnsi="宋体"/>
          <w:sz w:val="21"/>
          <w:szCs w:val="21"/>
        </w:rPr>
        <w:t>；</w:t>
      </w:r>
    </w:p>
    <w:p w14:paraId="15B7E314">
      <w:pPr>
        <w:spacing w:line="400" w:lineRule="exact"/>
        <w:ind w:firstLine="420" w:firstLineChars="200"/>
        <w:rPr>
          <w:rFonts w:ascii="宋体" w:hAnsi="宋体"/>
          <w:sz w:val="21"/>
          <w:szCs w:val="21"/>
        </w:rPr>
      </w:pPr>
      <w:r>
        <w:rPr>
          <w:rFonts w:hint="eastAsia" w:ascii="宋体" w:hAnsi="宋体"/>
          <w:sz w:val="21"/>
          <w:szCs w:val="21"/>
        </w:rPr>
        <w:t>f)产品标准化要求，即根据产品的要求和特点，明确产品应遵循的应用行业或领域的标准和规范，编制产品标准化大纲；</w:t>
      </w:r>
    </w:p>
    <w:p w14:paraId="69A2966C">
      <w:pPr>
        <w:spacing w:line="400" w:lineRule="exact"/>
        <w:ind w:firstLine="420" w:firstLineChars="200"/>
        <w:rPr>
          <w:rFonts w:ascii="宋体" w:hAnsi="宋体"/>
          <w:sz w:val="21"/>
          <w:szCs w:val="21"/>
        </w:rPr>
      </w:pPr>
      <w:r>
        <w:rPr>
          <w:rFonts w:hint="eastAsia" w:ascii="宋体" w:hAnsi="宋体"/>
          <w:sz w:val="21"/>
          <w:szCs w:val="21"/>
        </w:rPr>
        <w:t>g）产品质量特性等要求。结合系统设计，依据标准GB/T 16260软件工程-产品质量度量，综合权衡、分解通用质量特性（功能性、可靠性、易用性、可维护性、效率、可移植性）定性定量要求，开展通用质量特性分析、设计、验证，提出并落实预防和改进措施。其中：</w:t>
      </w:r>
    </w:p>
    <w:p w14:paraId="247BCFFA">
      <w:pPr>
        <w:spacing w:line="400" w:lineRule="exact"/>
        <w:ind w:firstLine="420" w:firstLineChars="200"/>
        <w:rPr>
          <w:rFonts w:ascii="宋体" w:hAnsi="宋体"/>
          <w:sz w:val="21"/>
          <w:szCs w:val="21"/>
        </w:rPr>
      </w:pPr>
      <w:r>
        <w:rPr>
          <w:rFonts w:hint="eastAsia" w:ascii="宋体" w:hAnsi="宋体"/>
          <w:sz w:val="21"/>
          <w:szCs w:val="21"/>
        </w:rPr>
        <w:t>功能性：在指定条件下使用时，系统产品满足明确和隐含要求功能的能力。其基本要求包括系统功能与用户需求一致、系统组织模块完整、系统产品产生结果与预期结果一致、功能定义清晰等；</w:t>
      </w:r>
    </w:p>
    <w:p w14:paraId="2796392B">
      <w:pPr>
        <w:spacing w:line="400" w:lineRule="exact"/>
        <w:ind w:firstLine="420" w:firstLineChars="200"/>
        <w:rPr>
          <w:rFonts w:ascii="宋体" w:hAnsi="宋体"/>
          <w:sz w:val="21"/>
          <w:szCs w:val="21"/>
        </w:rPr>
      </w:pPr>
      <w:r>
        <w:rPr>
          <w:rFonts w:hint="eastAsia" w:ascii="宋体" w:hAnsi="宋体"/>
          <w:sz w:val="21"/>
          <w:szCs w:val="21"/>
        </w:rPr>
        <w:t>可靠性：在指定条件下使用时，系统产品维持规定的性能级别的能力。其基本要求包括系统操作简便、遵循国家和公司有关软件开发要求、系统模块之间采用低耦合高内聚方式组合并保持模块独立性；</w:t>
      </w:r>
    </w:p>
    <w:p w14:paraId="2D1CC11B">
      <w:pPr>
        <w:spacing w:line="400" w:lineRule="exact"/>
        <w:ind w:firstLine="420" w:firstLineChars="200"/>
        <w:rPr>
          <w:rFonts w:ascii="宋体" w:hAnsi="宋体"/>
          <w:sz w:val="21"/>
          <w:szCs w:val="21"/>
        </w:rPr>
      </w:pPr>
      <w:r>
        <w:rPr>
          <w:rFonts w:hint="eastAsia" w:ascii="宋体" w:hAnsi="宋体"/>
          <w:sz w:val="21"/>
          <w:szCs w:val="21"/>
        </w:rPr>
        <w:t>易用性：在指定条件下使用时，系统产品被理解、学习、使用和吸引用户的能力。其基本要求包括软件安装简单（可一键运行）、软件界面简洁且符合用户操作习惯、软件独立运行（不依赖其他软件）；</w:t>
      </w:r>
    </w:p>
    <w:p w14:paraId="6A45CCAD">
      <w:pPr>
        <w:spacing w:line="400" w:lineRule="exact"/>
        <w:ind w:firstLine="420" w:firstLineChars="200"/>
        <w:rPr>
          <w:rFonts w:ascii="宋体" w:hAnsi="宋体"/>
          <w:sz w:val="21"/>
          <w:szCs w:val="21"/>
        </w:rPr>
      </w:pPr>
      <w:r>
        <w:rPr>
          <w:rFonts w:hint="eastAsia" w:ascii="宋体" w:hAnsi="宋体"/>
          <w:sz w:val="21"/>
          <w:szCs w:val="21"/>
        </w:rPr>
        <w:t>效率：在所用资源受限条件下，系统产品可提供的适当性能的能力。软件效率指标应根据用户环境和项目特点确定；</w:t>
      </w:r>
    </w:p>
    <w:p w14:paraId="2BD682E5">
      <w:pPr>
        <w:spacing w:line="400" w:lineRule="exact"/>
        <w:ind w:firstLine="420" w:firstLineChars="200"/>
        <w:rPr>
          <w:rFonts w:ascii="宋体" w:hAnsi="宋体"/>
          <w:sz w:val="21"/>
          <w:szCs w:val="21"/>
        </w:rPr>
      </w:pPr>
      <w:r>
        <w:rPr>
          <w:rFonts w:hint="eastAsia" w:ascii="宋体" w:hAnsi="宋体"/>
          <w:sz w:val="21"/>
          <w:szCs w:val="21"/>
        </w:rPr>
        <w:t>可维护性：软件产品可被修改的能力，修改可能包括修正、改进或软件适应环境、需求规格说明中的变化。其基本要求包括软件系统架构良好、软件文档详尽齐全、代码规范（符合行业标准和公司有关规定）、代码注释量不小于20%且注释准确明晰、配置管理情况良好（便于追溯）；</w:t>
      </w:r>
    </w:p>
    <w:p w14:paraId="6A5FE899">
      <w:pPr>
        <w:spacing w:line="400" w:lineRule="exact"/>
        <w:ind w:firstLine="420" w:firstLineChars="200"/>
        <w:rPr>
          <w:rFonts w:ascii="宋体" w:hAnsi="宋体"/>
          <w:sz w:val="21"/>
          <w:szCs w:val="21"/>
        </w:rPr>
      </w:pPr>
      <w:r>
        <w:rPr>
          <w:rFonts w:hint="eastAsia" w:ascii="宋体" w:hAnsi="宋体"/>
          <w:sz w:val="21"/>
          <w:szCs w:val="21"/>
        </w:rPr>
        <w:t>可移植性：软件产品从一种环境迁移到另一种环境的能力。其基本要求包括适应用户常用的操作系统、便于在公共环境中分享和使用、不与用户常用软件的运行产生冲突。</w:t>
      </w:r>
    </w:p>
    <w:p w14:paraId="678BE72F">
      <w:pPr>
        <w:spacing w:line="400" w:lineRule="exact"/>
        <w:ind w:firstLine="420" w:firstLineChars="200"/>
        <w:rPr>
          <w:rFonts w:ascii="宋体" w:hAnsi="宋体"/>
          <w:sz w:val="21"/>
          <w:szCs w:val="21"/>
        </w:rPr>
      </w:pPr>
      <w:r>
        <w:rPr>
          <w:rFonts w:hint="eastAsia" w:ascii="宋体" w:hAnsi="宋体"/>
          <w:sz w:val="21"/>
          <w:szCs w:val="21"/>
        </w:rPr>
        <w:t>h）公司产品开发过程遵从GJB 2786A标准，编制软件开发计划，确定并实施软件需求分析、设计、实现、测试、验收、交付等过程，以及相关的策划与跟踪、文档编制、质量保证、配置管理等；各阶段文档要求遵从GJB 438B标准；质量保证过程及评审规范遵从GJB 439标准。</w:t>
      </w:r>
    </w:p>
    <w:p w14:paraId="0DAB5C43">
      <w:pPr>
        <w:spacing w:line="400" w:lineRule="exact"/>
        <w:ind w:firstLine="420" w:firstLineChars="200"/>
        <w:rPr>
          <w:rFonts w:ascii="宋体" w:hAnsi="宋体"/>
          <w:sz w:val="21"/>
          <w:szCs w:val="21"/>
        </w:rPr>
      </w:pPr>
      <w:r>
        <w:rPr>
          <w:rFonts w:hint="eastAsia" w:ascii="宋体" w:hAnsi="宋体"/>
          <w:sz w:val="21"/>
          <w:szCs w:val="21"/>
        </w:rPr>
        <w:t>i)按照GJB 5235配置管理有关要求，确定配置项，编制软件配置管理计划，实施配置状态标识、控制、记实、审核；</w:t>
      </w:r>
    </w:p>
    <w:p w14:paraId="2F2DFFEA">
      <w:pPr>
        <w:spacing w:line="400" w:lineRule="exact"/>
        <w:ind w:firstLine="420" w:firstLineChars="200"/>
        <w:rPr>
          <w:rFonts w:ascii="宋体" w:hAnsi="宋体"/>
          <w:sz w:val="21"/>
          <w:szCs w:val="21"/>
        </w:rPr>
      </w:pPr>
      <w:r>
        <w:rPr>
          <w:rFonts w:hint="eastAsia" w:ascii="宋体" w:hAnsi="宋体"/>
          <w:sz w:val="21"/>
          <w:szCs w:val="21"/>
        </w:rPr>
        <w:t>j)按照GJB5852及相关规定要求，分析评估技术、质量、进度、经费等风险，制定风险管理计划，实施风险控制；</w:t>
      </w:r>
    </w:p>
    <w:p w14:paraId="464F9A51">
      <w:pPr>
        <w:spacing w:line="400" w:lineRule="exact"/>
        <w:ind w:firstLine="420" w:firstLineChars="200"/>
        <w:rPr>
          <w:rFonts w:ascii="宋体" w:hAnsi="宋体"/>
          <w:sz w:val="21"/>
          <w:szCs w:val="21"/>
        </w:rPr>
      </w:pPr>
      <w:r>
        <w:rPr>
          <w:rFonts w:hint="eastAsia" w:ascii="宋体" w:hAnsi="宋体"/>
          <w:sz w:val="21"/>
          <w:szCs w:val="21"/>
        </w:rPr>
        <w:t>k)收集、分析质量信息，对产品和服务质量的符合性、过程有效性进行评价，并应用于产品和服务、过程的控制和改进。</w:t>
      </w:r>
    </w:p>
    <w:p w14:paraId="49FF933C">
      <w:pPr>
        <w:spacing w:line="400" w:lineRule="exact"/>
        <w:ind w:firstLine="420" w:firstLineChars="200"/>
        <w:rPr>
          <w:rFonts w:ascii="宋体" w:hAnsi="宋体"/>
          <w:sz w:val="21"/>
          <w:szCs w:val="21"/>
        </w:rPr>
      </w:pPr>
      <w:r>
        <w:rPr>
          <w:rFonts w:ascii="宋体" w:hAnsi="宋体"/>
          <w:sz w:val="21"/>
          <w:szCs w:val="21"/>
        </w:rPr>
        <w:t>策划的输出应适合</w:t>
      </w:r>
      <w:r>
        <w:rPr>
          <w:rFonts w:hint="eastAsia" w:ascii="宋体" w:hAnsi="宋体"/>
          <w:sz w:val="21"/>
          <w:szCs w:val="21"/>
        </w:rPr>
        <w:t>公司</w:t>
      </w:r>
      <w:r>
        <w:rPr>
          <w:rFonts w:ascii="宋体" w:hAnsi="宋体"/>
          <w:sz w:val="21"/>
          <w:szCs w:val="21"/>
        </w:rPr>
        <w:t>运行的需要。</w:t>
      </w:r>
    </w:p>
    <w:p w14:paraId="5C091B22">
      <w:pPr>
        <w:spacing w:line="400" w:lineRule="exact"/>
        <w:ind w:firstLine="420" w:firstLineChars="200"/>
        <w:rPr>
          <w:rFonts w:ascii="宋体" w:hAnsi="宋体"/>
          <w:sz w:val="21"/>
          <w:szCs w:val="21"/>
        </w:rPr>
      </w:pPr>
      <w:r>
        <w:rPr>
          <w:rFonts w:ascii="宋体" w:hAnsi="宋体"/>
          <w:sz w:val="21"/>
          <w:szCs w:val="21"/>
        </w:rPr>
        <w:t>公司</w:t>
      </w:r>
      <w:r>
        <w:rPr>
          <w:rFonts w:hint="eastAsia" w:ascii="宋体" w:hAnsi="宋体"/>
          <w:sz w:val="21"/>
          <w:szCs w:val="21"/>
        </w:rPr>
        <w:t>应</w:t>
      </w:r>
      <w:r>
        <w:rPr>
          <w:rFonts w:ascii="宋体" w:hAnsi="宋体"/>
          <w:sz w:val="21"/>
          <w:szCs w:val="21"/>
        </w:rPr>
        <w:t>严格控制运行策划的更改，评审非预期变更的后果</w:t>
      </w:r>
      <w:r>
        <w:rPr>
          <w:rFonts w:hint="eastAsia" w:ascii="宋体" w:hAnsi="宋体"/>
          <w:sz w:val="21"/>
          <w:szCs w:val="21"/>
        </w:rPr>
        <w:t>，</w:t>
      </w:r>
      <w:r>
        <w:rPr>
          <w:rFonts w:ascii="宋体" w:hAnsi="宋体"/>
          <w:sz w:val="21"/>
          <w:szCs w:val="21"/>
        </w:rPr>
        <w:t>更改在实施前应予以确认。必要时，采取措施消除不利影响。</w:t>
      </w:r>
    </w:p>
    <w:p w14:paraId="1CF162AF">
      <w:pPr>
        <w:widowControl/>
        <w:spacing w:line="400" w:lineRule="exact"/>
        <w:ind w:firstLine="445" w:firstLineChars="212"/>
        <w:rPr>
          <w:rFonts w:ascii="宋体" w:hAnsi="宋体"/>
          <w:sz w:val="21"/>
          <w:szCs w:val="21"/>
        </w:rPr>
      </w:pPr>
      <w:r>
        <w:rPr>
          <w:rFonts w:hint="eastAsia" w:ascii="宋体" w:hAnsi="宋体"/>
          <w:sz w:val="21"/>
          <w:szCs w:val="21"/>
        </w:rPr>
        <w:t>综合行政部、生产运维部按照《</w:t>
      </w:r>
      <w:r>
        <w:rPr>
          <w:rFonts w:ascii="宋体" w:hAnsi="宋体"/>
          <w:sz w:val="21"/>
          <w:szCs w:val="21"/>
        </w:rPr>
        <w:t>采购控制程序</w:t>
      </w:r>
      <w:r>
        <w:rPr>
          <w:rFonts w:hint="eastAsia" w:ascii="宋体" w:hAnsi="宋体"/>
          <w:sz w:val="21"/>
          <w:szCs w:val="21"/>
        </w:rPr>
        <w:t>》和《外包</w:t>
      </w:r>
      <w:r>
        <w:rPr>
          <w:rFonts w:ascii="宋体" w:hAnsi="宋体"/>
          <w:sz w:val="21"/>
          <w:szCs w:val="21"/>
        </w:rPr>
        <w:t>控制程序</w:t>
      </w:r>
      <w:r>
        <w:rPr>
          <w:rFonts w:hint="eastAsia" w:ascii="宋体" w:hAnsi="宋体"/>
          <w:sz w:val="21"/>
          <w:szCs w:val="21"/>
        </w:rPr>
        <w:t>》的要求</w:t>
      </w:r>
      <w:r>
        <w:rPr>
          <w:rFonts w:ascii="宋体" w:hAnsi="宋体"/>
          <w:sz w:val="21"/>
          <w:szCs w:val="21"/>
        </w:rPr>
        <w:t>，对外部提供的过程、产品和服务进行管理，确保外包过程受控</w:t>
      </w:r>
      <w:r>
        <w:rPr>
          <w:rFonts w:hint="eastAsia" w:ascii="宋体" w:hAnsi="宋体"/>
          <w:sz w:val="21"/>
          <w:szCs w:val="21"/>
        </w:rPr>
        <w:t xml:space="preserve"> (见8.4)。公司确定主要外包过程有试剂柜柜体加工、电路板加工、软件测评（有资质的第三方测评机构）和计量器具检定为外包过程。公司应对外包过程进行评审，批准后实施，并监督外包过程的执行。对顾客关注的外包过程，应由公司和顾客共同批准。</w:t>
      </w:r>
    </w:p>
    <w:p w14:paraId="7C6CE8FF">
      <w:pPr>
        <w:widowControl/>
        <w:spacing w:line="400" w:lineRule="exact"/>
        <w:ind w:firstLine="420" w:firstLineChars="200"/>
        <w:rPr>
          <w:rFonts w:ascii="楷体" w:hAnsi="楷体" w:eastAsia="楷体"/>
          <w:bCs/>
          <w:sz w:val="21"/>
          <w:szCs w:val="21"/>
        </w:rPr>
      </w:pPr>
      <w:r>
        <w:rPr>
          <w:rFonts w:hint="eastAsia" w:ascii="楷体" w:hAnsi="楷体" w:eastAsia="楷体"/>
          <w:sz w:val="21"/>
          <w:szCs w:val="21"/>
        </w:rPr>
        <w:t>产品策划阶段</w:t>
      </w:r>
      <w:r>
        <w:rPr>
          <w:rFonts w:ascii="楷体" w:hAnsi="楷体" w:eastAsia="楷体"/>
          <w:sz w:val="21"/>
          <w:szCs w:val="21"/>
        </w:rPr>
        <w:t>结束后，需要</w:t>
      </w:r>
      <w:r>
        <w:rPr>
          <w:rFonts w:hint="eastAsia" w:ascii="楷体" w:hAnsi="楷体" w:eastAsia="楷体"/>
          <w:sz w:val="21"/>
          <w:szCs w:val="21"/>
        </w:rPr>
        <w:t>形成</w:t>
      </w:r>
      <w:r>
        <w:rPr>
          <w:rFonts w:hint="eastAsia" w:ascii="宋体" w:hAnsi="宋体"/>
          <w:sz w:val="21"/>
          <w:szCs w:val="21"/>
        </w:rPr>
        <w:t>软件开发计划（</w:t>
      </w:r>
      <w:r>
        <w:rPr>
          <w:rFonts w:ascii="宋体" w:hAnsi="宋体"/>
          <w:sz w:val="21"/>
          <w:szCs w:val="21"/>
        </w:rPr>
        <w:t>SDP</w:t>
      </w:r>
      <w:r>
        <w:rPr>
          <w:rFonts w:hint="eastAsia" w:ascii="宋体" w:hAnsi="宋体"/>
          <w:sz w:val="21"/>
          <w:szCs w:val="21"/>
        </w:rPr>
        <w:t>）、软件测试计划（</w:t>
      </w:r>
      <w:r>
        <w:rPr>
          <w:rFonts w:ascii="宋体" w:hAnsi="宋体"/>
          <w:sz w:val="21"/>
          <w:szCs w:val="21"/>
        </w:rPr>
        <w:t>STP</w:t>
      </w:r>
      <w:r>
        <w:rPr>
          <w:rFonts w:hint="eastAsia" w:ascii="宋体" w:hAnsi="宋体"/>
          <w:sz w:val="21"/>
          <w:szCs w:val="21"/>
        </w:rPr>
        <w:t>）、软件安装计划（</w:t>
      </w:r>
      <w:r>
        <w:rPr>
          <w:rFonts w:ascii="宋体" w:hAnsi="宋体"/>
          <w:sz w:val="21"/>
          <w:szCs w:val="21"/>
        </w:rPr>
        <w:t>SIP</w:t>
      </w:r>
      <w:r>
        <w:rPr>
          <w:rFonts w:hint="eastAsia" w:ascii="宋体" w:hAnsi="宋体"/>
          <w:sz w:val="21"/>
          <w:szCs w:val="21"/>
        </w:rPr>
        <w:t>）、软件移交计划（</w:t>
      </w:r>
      <w:r>
        <w:rPr>
          <w:rFonts w:ascii="宋体" w:hAnsi="宋体"/>
          <w:sz w:val="21"/>
          <w:szCs w:val="21"/>
        </w:rPr>
        <w:t>S</w:t>
      </w:r>
      <w:r>
        <w:rPr>
          <w:rFonts w:hint="eastAsia" w:ascii="宋体" w:hAnsi="宋体"/>
          <w:sz w:val="21"/>
          <w:szCs w:val="21"/>
        </w:rPr>
        <w:t>T</w:t>
      </w:r>
      <w:r>
        <w:rPr>
          <w:rFonts w:ascii="宋体" w:hAnsi="宋体"/>
          <w:sz w:val="21"/>
          <w:szCs w:val="21"/>
        </w:rPr>
        <w:t>RP</w:t>
      </w:r>
      <w:r>
        <w:rPr>
          <w:rFonts w:hint="eastAsia" w:ascii="宋体" w:hAnsi="宋体"/>
          <w:sz w:val="21"/>
          <w:szCs w:val="21"/>
        </w:rPr>
        <w:t>）、软件质量保证计划（</w:t>
      </w:r>
      <w:r>
        <w:rPr>
          <w:rFonts w:ascii="宋体" w:hAnsi="宋体"/>
          <w:sz w:val="21"/>
          <w:szCs w:val="21"/>
        </w:rPr>
        <w:t>SQAP</w:t>
      </w:r>
      <w:r>
        <w:rPr>
          <w:rFonts w:hint="eastAsia" w:ascii="宋体" w:hAnsi="宋体"/>
          <w:sz w:val="21"/>
          <w:szCs w:val="21"/>
        </w:rPr>
        <w:t>）、软件配置管理计划（</w:t>
      </w:r>
      <w:r>
        <w:rPr>
          <w:rFonts w:ascii="宋体" w:hAnsi="宋体"/>
          <w:sz w:val="21"/>
          <w:szCs w:val="21"/>
        </w:rPr>
        <w:t>SCMP</w:t>
      </w:r>
      <w:r>
        <w:rPr>
          <w:rFonts w:hint="eastAsia" w:ascii="宋体" w:hAnsi="宋体"/>
          <w:sz w:val="21"/>
          <w:szCs w:val="21"/>
        </w:rPr>
        <w:t>）、软件风险管理计划（SRMP）、硬件开发计划、硬件测试计划、硬件安装计划等文件。</w:t>
      </w:r>
      <w:r>
        <w:rPr>
          <w:rFonts w:hint="eastAsia" w:ascii="楷体" w:hAnsi="楷体" w:eastAsia="楷体"/>
          <w:bCs/>
          <w:sz w:val="21"/>
          <w:szCs w:val="21"/>
        </w:rPr>
        <w:t>软件质量保证计划（</w:t>
      </w:r>
      <w:r>
        <w:rPr>
          <w:rFonts w:ascii="楷体" w:hAnsi="楷体" w:eastAsia="楷体"/>
          <w:bCs/>
          <w:sz w:val="21"/>
          <w:szCs w:val="21"/>
        </w:rPr>
        <w:t>SQAP</w:t>
      </w:r>
      <w:r>
        <w:rPr>
          <w:rFonts w:hint="eastAsia" w:ascii="楷体" w:hAnsi="楷体" w:eastAsia="楷体"/>
          <w:bCs/>
          <w:sz w:val="21"/>
          <w:szCs w:val="21"/>
        </w:rPr>
        <w:t>）及其调整应征得顾客同意。</w:t>
      </w:r>
    </w:p>
    <w:p w14:paraId="5CB288AB">
      <w:pPr>
        <w:spacing w:line="400" w:lineRule="exact"/>
        <w:ind w:firstLine="420" w:firstLineChars="200"/>
        <w:rPr>
          <w:rFonts w:ascii="楷体" w:hAnsi="楷体" w:eastAsia="楷体"/>
          <w:b/>
          <w:sz w:val="21"/>
          <w:szCs w:val="21"/>
        </w:rPr>
      </w:pPr>
      <w:r>
        <w:rPr>
          <w:rFonts w:hint="eastAsia" w:ascii="宋体" w:hAnsi="宋体"/>
          <w:sz w:val="21"/>
          <w:szCs w:val="21"/>
        </w:rPr>
        <w:t>产品和</w:t>
      </w:r>
      <w:r>
        <w:rPr>
          <w:rFonts w:ascii="宋体" w:hAnsi="宋体"/>
          <w:sz w:val="21"/>
          <w:szCs w:val="21"/>
        </w:rPr>
        <w:t>服务的运行包括</w:t>
      </w:r>
      <w:r>
        <w:rPr>
          <w:rFonts w:hint="eastAsia" w:ascii="宋体" w:hAnsi="宋体"/>
          <w:sz w:val="21"/>
          <w:szCs w:val="21"/>
        </w:rPr>
        <w:t>项目</w:t>
      </w:r>
      <w:r>
        <w:rPr>
          <w:rFonts w:ascii="宋体" w:hAnsi="宋体"/>
          <w:sz w:val="21"/>
          <w:szCs w:val="21"/>
        </w:rPr>
        <w:t>策划、</w:t>
      </w:r>
      <w:r>
        <w:rPr>
          <w:rFonts w:hint="eastAsia" w:ascii="宋体" w:hAnsi="宋体"/>
          <w:sz w:val="21"/>
          <w:szCs w:val="21"/>
        </w:rPr>
        <w:t>系统需求分析和设计</w:t>
      </w:r>
      <w:r>
        <w:rPr>
          <w:rFonts w:ascii="宋体" w:hAnsi="宋体"/>
          <w:sz w:val="21"/>
          <w:szCs w:val="21"/>
        </w:rPr>
        <w:t>、</w:t>
      </w:r>
      <w:r>
        <w:rPr>
          <w:rFonts w:hint="eastAsia" w:ascii="宋体" w:hAnsi="宋体"/>
          <w:sz w:val="21"/>
          <w:szCs w:val="21"/>
        </w:rPr>
        <w:t>软硬件</w:t>
      </w:r>
      <w:r>
        <w:rPr>
          <w:rFonts w:ascii="宋体" w:hAnsi="宋体"/>
          <w:sz w:val="21"/>
          <w:szCs w:val="21"/>
        </w:rPr>
        <w:t>实现和单元测试、集成和测试</w:t>
      </w:r>
      <w:r>
        <w:rPr>
          <w:rFonts w:hint="eastAsia" w:ascii="宋体" w:hAnsi="宋体"/>
          <w:sz w:val="21"/>
          <w:szCs w:val="21"/>
        </w:rPr>
        <w:t>、</w:t>
      </w:r>
      <w:r>
        <w:rPr>
          <w:rFonts w:ascii="宋体" w:hAnsi="宋体"/>
          <w:sz w:val="21"/>
          <w:szCs w:val="21"/>
        </w:rPr>
        <w:t>产品交付</w:t>
      </w:r>
      <w:r>
        <w:rPr>
          <w:rFonts w:hint="eastAsia" w:ascii="宋体" w:hAnsi="宋体"/>
          <w:sz w:val="21"/>
          <w:szCs w:val="21"/>
        </w:rPr>
        <w:t>五</w:t>
      </w:r>
      <w:r>
        <w:rPr>
          <w:rFonts w:ascii="宋体" w:hAnsi="宋体"/>
          <w:sz w:val="21"/>
          <w:szCs w:val="21"/>
        </w:rPr>
        <w:t>个阶段。</w:t>
      </w:r>
      <w:r>
        <w:rPr>
          <w:rFonts w:hint="eastAsia" w:ascii="宋体" w:hAnsi="宋体"/>
          <w:sz w:val="21"/>
          <w:szCs w:val="21"/>
        </w:rPr>
        <w:t>在这五个阶段的进展过程中</w:t>
      </w:r>
      <w:r>
        <w:rPr>
          <w:rFonts w:ascii="宋体" w:hAnsi="宋体"/>
          <w:sz w:val="21"/>
          <w:szCs w:val="21"/>
        </w:rPr>
        <w:t>，针对公司软件产品的特点，</w:t>
      </w:r>
      <w:r>
        <w:rPr>
          <w:rFonts w:hint="eastAsia" w:ascii="宋体" w:hAnsi="宋体"/>
          <w:sz w:val="21"/>
          <w:szCs w:val="21"/>
        </w:rPr>
        <w:t>建立基线</w:t>
      </w:r>
      <w:r>
        <w:rPr>
          <w:rFonts w:ascii="宋体" w:hAnsi="宋体"/>
          <w:sz w:val="21"/>
          <w:szCs w:val="21"/>
        </w:rPr>
        <w:t>对产品在不同阶段的状态进行管理和版本控制。</w:t>
      </w:r>
      <w:r>
        <w:rPr>
          <w:rFonts w:hint="eastAsia" w:ascii="宋体" w:hAnsi="宋体"/>
          <w:sz w:val="21"/>
          <w:szCs w:val="21"/>
        </w:rPr>
        <w:t>每个阶段输出</w:t>
      </w:r>
      <w:r>
        <w:rPr>
          <w:rFonts w:ascii="宋体" w:hAnsi="宋体"/>
          <w:sz w:val="21"/>
          <w:szCs w:val="21"/>
        </w:rPr>
        <w:t>的</w:t>
      </w:r>
      <w:r>
        <w:rPr>
          <w:rFonts w:hint="eastAsia" w:ascii="宋体" w:hAnsi="宋体"/>
          <w:sz w:val="21"/>
          <w:szCs w:val="21"/>
        </w:rPr>
        <w:t>文件</w:t>
      </w:r>
      <w:r>
        <w:rPr>
          <w:rFonts w:ascii="宋体" w:hAnsi="宋体"/>
          <w:sz w:val="21"/>
          <w:szCs w:val="21"/>
        </w:rPr>
        <w:t>、记录、产品代码、</w:t>
      </w:r>
      <w:r>
        <w:rPr>
          <w:rFonts w:hint="eastAsia" w:ascii="宋体" w:hAnsi="宋体"/>
          <w:sz w:val="21"/>
          <w:szCs w:val="21"/>
        </w:rPr>
        <w:t>测试用例</w:t>
      </w:r>
      <w:r>
        <w:rPr>
          <w:rFonts w:ascii="宋体" w:hAnsi="宋体"/>
          <w:sz w:val="21"/>
          <w:szCs w:val="21"/>
        </w:rPr>
        <w:t>、报告、</w:t>
      </w:r>
      <w:r>
        <w:rPr>
          <w:rFonts w:hint="eastAsia" w:ascii="宋体" w:hAnsi="宋体"/>
          <w:sz w:val="21"/>
          <w:szCs w:val="21"/>
        </w:rPr>
        <w:t>产品稳定版本需要按照基线</w:t>
      </w:r>
      <w:r>
        <w:rPr>
          <w:rFonts w:ascii="宋体" w:hAnsi="宋体"/>
          <w:sz w:val="21"/>
          <w:szCs w:val="21"/>
        </w:rPr>
        <w:t>进行归档，并利用公司内部的开发库、受控库和产品库进行分类保存和管理。</w:t>
      </w:r>
    </w:p>
    <w:p w14:paraId="2837D81E">
      <w:pPr>
        <w:pStyle w:val="3"/>
        <w:spacing w:before="120" w:beforeLines="50" w:after="120" w:afterLines="50" w:line="400" w:lineRule="exact"/>
        <w:rPr>
          <w:rFonts w:ascii="宋体" w:hAnsi="宋体" w:eastAsia="宋体"/>
          <w:szCs w:val="28"/>
        </w:rPr>
      </w:pPr>
      <w:bookmarkStart w:id="108" w:name="_Toc521509461"/>
      <w:bookmarkStart w:id="109" w:name="_Toc509844817"/>
      <w:bookmarkStart w:id="110" w:name="_Toc509844127"/>
      <w:bookmarkStart w:id="111" w:name="_Toc509845149"/>
      <w:r>
        <w:rPr>
          <w:rFonts w:hint="eastAsia" w:ascii="宋体" w:hAnsi="宋体" w:eastAsia="宋体"/>
          <w:sz w:val="24"/>
          <w:szCs w:val="24"/>
        </w:rPr>
        <w:t>8.2产品和服务的要求</w:t>
      </w:r>
      <w:bookmarkEnd w:id="108"/>
      <w:bookmarkEnd w:id="109"/>
      <w:bookmarkEnd w:id="110"/>
      <w:bookmarkEnd w:id="111"/>
    </w:p>
    <w:p w14:paraId="37118A64">
      <w:pPr>
        <w:spacing w:line="400" w:lineRule="exact"/>
        <w:rPr>
          <w:rFonts w:ascii="宋体" w:hAnsi="宋体"/>
          <w:sz w:val="21"/>
          <w:szCs w:val="21"/>
        </w:rPr>
      </w:pPr>
      <w:r>
        <w:rPr>
          <w:rFonts w:ascii="宋体" w:hAnsi="宋体"/>
          <w:sz w:val="21"/>
          <w:szCs w:val="21"/>
        </w:rPr>
        <w:t>8.2.1顾客沟通</w:t>
      </w:r>
    </w:p>
    <w:p w14:paraId="0CE97872">
      <w:pPr>
        <w:spacing w:line="400" w:lineRule="exact"/>
        <w:ind w:firstLine="420" w:firstLineChars="200"/>
        <w:rPr>
          <w:rFonts w:ascii="宋体" w:hAnsi="宋体"/>
          <w:sz w:val="21"/>
          <w:szCs w:val="21"/>
        </w:rPr>
      </w:pPr>
      <w:r>
        <w:rPr>
          <w:rFonts w:ascii="宋体" w:hAnsi="宋体"/>
          <w:sz w:val="21"/>
          <w:szCs w:val="21"/>
        </w:rPr>
        <w:t>与顾客沟通的内容包括：</w:t>
      </w:r>
    </w:p>
    <w:p w14:paraId="46517287">
      <w:pPr>
        <w:spacing w:line="400" w:lineRule="exact"/>
        <w:ind w:firstLine="420" w:firstLineChars="200"/>
        <w:rPr>
          <w:rFonts w:ascii="宋体" w:hAnsi="宋体"/>
          <w:sz w:val="21"/>
          <w:szCs w:val="21"/>
        </w:rPr>
      </w:pPr>
      <w:r>
        <w:rPr>
          <w:rFonts w:hint="eastAsia" w:ascii="宋体" w:hAnsi="宋体"/>
          <w:sz w:val="21"/>
          <w:szCs w:val="21"/>
        </w:rPr>
        <w:t>a)对产品和服务要求的有关信息，通过与顾客面谈、传真、电子邮件、电话等方式进行沟通，加以确定和明确，同时做好沟通的记录；</w:t>
      </w:r>
    </w:p>
    <w:p w14:paraId="0C583289">
      <w:pPr>
        <w:spacing w:line="400" w:lineRule="exact"/>
        <w:ind w:firstLine="420" w:firstLineChars="200"/>
        <w:rPr>
          <w:rFonts w:ascii="宋体" w:hAnsi="宋体"/>
          <w:sz w:val="21"/>
          <w:szCs w:val="21"/>
        </w:rPr>
      </w:pPr>
      <w:r>
        <w:rPr>
          <w:rFonts w:hint="eastAsia" w:ascii="宋体" w:hAnsi="宋体"/>
          <w:sz w:val="21"/>
          <w:szCs w:val="21"/>
        </w:rPr>
        <w:t>b)公司在承诺为顾客提供产品和服务后，对顾客针对产品和服务的问询、合同或订单的处理，市场部应给予明确的解答，同时下发合同或订单的信息指令，将合同信息传递到研发、生产等各个部门，并做好发放记录；需对合同修改时，应有书面修改通知，由市场部将修改通知及时发往相关部门，确保修改信息传递准确、无误；</w:t>
      </w:r>
    </w:p>
    <w:p w14:paraId="01DE715F">
      <w:pPr>
        <w:spacing w:line="400" w:lineRule="exact"/>
        <w:ind w:firstLine="420" w:firstLineChars="200"/>
        <w:rPr>
          <w:rFonts w:ascii="宋体" w:hAnsi="宋体"/>
          <w:sz w:val="21"/>
          <w:szCs w:val="21"/>
        </w:rPr>
      </w:pPr>
      <w:r>
        <w:rPr>
          <w:rFonts w:hint="eastAsia" w:ascii="宋体" w:hAnsi="宋体"/>
          <w:sz w:val="21"/>
          <w:szCs w:val="21"/>
        </w:rPr>
        <w:t>c)向顾客提供产品之后，市场部应主动收集顾客意见和反馈信息，包括顾客的抱怨，并对收集的信息按季度进行整理、统计、分析，形成书</w:t>
      </w:r>
      <w:r>
        <w:rPr>
          <w:rFonts w:ascii="宋体" w:hAnsi="宋体"/>
          <w:sz w:val="21"/>
          <w:szCs w:val="21"/>
        </w:rPr>
        <w:t>面分析报告</w:t>
      </w:r>
      <w:r>
        <w:rPr>
          <w:rFonts w:hint="eastAsia" w:ascii="宋体" w:hAnsi="宋体"/>
          <w:sz w:val="21"/>
          <w:szCs w:val="21"/>
        </w:rPr>
        <w:t>，</w:t>
      </w:r>
      <w:r>
        <w:rPr>
          <w:rFonts w:ascii="宋体" w:hAnsi="宋体"/>
          <w:sz w:val="21"/>
          <w:szCs w:val="21"/>
        </w:rPr>
        <w:t>以便对薄弱环节采取纠正措施，持续改进</w:t>
      </w:r>
      <w:r>
        <w:rPr>
          <w:rFonts w:hint="eastAsia" w:ascii="宋体" w:hAnsi="宋体"/>
          <w:sz w:val="21"/>
          <w:szCs w:val="21"/>
        </w:rPr>
        <w:t>；</w:t>
      </w:r>
    </w:p>
    <w:p w14:paraId="61CD4CB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 xml:space="preserve"> 市场部负责</w:t>
      </w:r>
      <w:r>
        <w:rPr>
          <w:rFonts w:ascii="宋体" w:hAnsi="宋体"/>
          <w:sz w:val="21"/>
          <w:szCs w:val="21"/>
        </w:rPr>
        <w:t>对顾客财产进行识别、验证、保护和防护</w:t>
      </w:r>
      <w:r>
        <w:rPr>
          <w:rFonts w:hint="eastAsia" w:ascii="宋体" w:hAnsi="宋体"/>
          <w:sz w:val="21"/>
          <w:szCs w:val="21"/>
        </w:rPr>
        <w:t>；</w:t>
      </w:r>
    </w:p>
    <w:p w14:paraId="5B1CF783">
      <w:pPr>
        <w:spacing w:line="400" w:lineRule="exact"/>
        <w:ind w:firstLine="420" w:firstLineChars="200"/>
        <w:rPr>
          <w:rFonts w:ascii="宋体" w:hAnsi="宋体"/>
          <w:sz w:val="21"/>
          <w:szCs w:val="21"/>
        </w:rPr>
      </w:pPr>
      <w:r>
        <w:rPr>
          <w:rFonts w:ascii="宋体" w:hAnsi="宋体"/>
          <w:sz w:val="21"/>
          <w:szCs w:val="21"/>
        </w:rPr>
        <w:t>e)因内部或外部原因，出现可能对满足</w:t>
      </w:r>
      <w:r>
        <w:rPr>
          <w:rFonts w:hint="eastAsia" w:ascii="宋体" w:hAnsi="宋体"/>
          <w:sz w:val="21"/>
          <w:szCs w:val="21"/>
        </w:rPr>
        <w:t>顾客要</w:t>
      </w:r>
      <w:r>
        <w:rPr>
          <w:rFonts w:ascii="宋体" w:hAnsi="宋体"/>
          <w:sz w:val="21"/>
          <w:szCs w:val="21"/>
        </w:rPr>
        <w:t>求造成重大不利影响情况</w:t>
      </w:r>
      <w:r>
        <w:rPr>
          <w:rFonts w:hint="eastAsia" w:ascii="宋体" w:hAnsi="宋体"/>
          <w:sz w:val="21"/>
          <w:szCs w:val="21"/>
        </w:rPr>
        <w:t>时，公司</w:t>
      </w:r>
      <w:r>
        <w:rPr>
          <w:rFonts w:ascii="宋体" w:hAnsi="宋体"/>
          <w:sz w:val="21"/>
          <w:szCs w:val="21"/>
        </w:rPr>
        <w:t>须制定应急措施并将特定要求与顾客及时沟通</w:t>
      </w:r>
      <w:r>
        <w:rPr>
          <w:rFonts w:hint="eastAsia" w:ascii="宋体" w:hAnsi="宋体"/>
          <w:sz w:val="21"/>
          <w:szCs w:val="21"/>
        </w:rPr>
        <w:t>；</w:t>
      </w:r>
    </w:p>
    <w:p w14:paraId="383A6CAE">
      <w:pPr>
        <w:spacing w:line="400" w:lineRule="exact"/>
        <w:ind w:firstLine="420" w:firstLineChars="200"/>
        <w:rPr>
          <w:rFonts w:ascii="楷体" w:hAnsi="楷体" w:eastAsia="楷体"/>
          <w:bCs/>
          <w:szCs w:val="28"/>
        </w:rPr>
      </w:pPr>
      <w:r>
        <w:rPr>
          <w:rFonts w:hint="eastAsia" w:ascii="楷体" w:hAnsi="楷体" w:eastAsia="楷体"/>
          <w:bCs/>
          <w:sz w:val="21"/>
          <w:szCs w:val="21"/>
        </w:rPr>
        <w:t>f)就产品使用、维修和保障的需求，充分与顾客进行沟通。</w:t>
      </w:r>
    </w:p>
    <w:p w14:paraId="2290C247">
      <w:pPr>
        <w:spacing w:line="400" w:lineRule="exact"/>
        <w:rPr>
          <w:rFonts w:ascii="宋体" w:hAnsi="宋体"/>
          <w:sz w:val="21"/>
          <w:szCs w:val="21"/>
        </w:rPr>
      </w:pPr>
      <w:r>
        <w:rPr>
          <w:rFonts w:hint="eastAsia" w:ascii="宋体" w:hAnsi="宋体"/>
          <w:sz w:val="21"/>
          <w:szCs w:val="21"/>
        </w:rPr>
        <w:t>8.2.2产品和服务要求的确定</w:t>
      </w:r>
    </w:p>
    <w:p w14:paraId="73D8FAE5">
      <w:pPr>
        <w:spacing w:line="400" w:lineRule="exact"/>
        <w:ind w:firstLine="420" w:firstLineChars="200"/>
        <w:rPr>
          <w:rFonts w:ascii="宋体" w:hAnsi="宋体"/>
          <w:sz w:val="21"/>
          <w:szCs w:val="21"/>
        </w:rPr>
      </w:pPr>
      <w:r>
        <w:rPr>
          <w:rFonts w:ascii="宋体" w:hAnsi="宋体"/>
          <w:sz w:val="21"/>
          <w:szCs w:val="21"/>
        </w:rPr>
        <w:t>在确定向顾客提供的产品和服务的要求时，公司</w:t>
      </w:r>
      <w:r>
        <w:rPr>
          <w:rFonts w:hint="eastAsia" w:ascii="宋体" w:hAnsi="宋体"/>
          <w:sz w:val="21"/>
          <w:szCs w:val="21"/>
        </w:rPr>
        <w:t>应</w:t>
      </w:r>
      <w:r>
        <w:rPr>
          <w:rFonts w:ascii="宋体" w:hAnsi="宋体"/>
          <w:sz w:val="21"/>
          <w:szCs w:val="21"/>
        </w:rPr>
        <w:t>确</w:t>
      </w:r>
      <w:r>
        <w:rPr>
          <w:rFonts w:hint="eastAsia" w:ascii="宋体" w:hAnsi="宋体"/>
          <w:sz w:val="21"/>
          <w:szCs w:val="21"/>
        </w:rPr>
        <w:t>保</w:t>
      </w:r>
      <w:r>
        <w:rPr>
          <w:rFonts w:ascii="宋体" w:hAnsi="宋体"/>
          <w:sz w:val="21"/>
          <w:szCs w:val="21"/>
        </w:rPr>
        <w:t>：</w:t>
      </w:r>
    </w:p>
    <w:p w14:paraId="3EEBBB28">
      <w:pPr>
        <w:spacing w:line="400" w:lineRule="exact"/>
        <w:ind w:firstLine="420" w:firstLineChars="200"/>
        <w:rPr>
          <w:rFonts w:ascii="宋体" w:hAnsi="宋体"/>
          <w:sz w:val="21"/>
          <w:szCs w:val="21"/>
        </w:rPr>
      </w:pPr>
      <w:r>
        <w:rPr>
          <w:rFonts w:ascii="宋体" w:hAnsi="宋体"/>
          <w:sz w:val="21"/>
          <w:szCs w:val="21"/>
        </w:rPr>
        <w:t>a)产品和服务的要求得到规定，包括适用的法律法规要求，</w:t>
      </w:r>
      <w:r>
        <w:rPr>
          <w:rFonts w:hint="eastAsia" w:ascii="宋体" w:hAnsi="宋体"/>
          <w:sz w:val="21"/>
          <w:szCs w:val="21"/>
        </w:rPr>
        <w:t>公司</w:t>
      </w:r>
      <w:r>
        <w:rPr>
          <w:rFonts w:ascii="宋体" w:hAnsi="宋体"/>
          <w:sz w:val="21"/>
          <w:szCs w:val="21"/>
        </w:rPr>
        <w:t>认为的必要要求。</w:t>
      </w:r>
    </w:p>
    <w:p w14:paraId="23A6A1DB">
      <w:pPr>
        <w:spacing w:line="400" w:lineRule="exact"/>
        <w:ind w:firstLine="420" w:firstLineChars="200"/>
        <w:rPr>
          <w:rFonts w:ascii="宋体" w:hAnsi="宋体"/>
          <w:sz w:val="21"/>
          <w:szCs w:val="21"/>
        </w:rPr>
      </w:pPr>
      <w:r>
        <w:rPr>
          <w:rFonts w:ascii="宋体" w:hAnsi="宋体"/>
          <w:sz w:val="21"/>
          <w:szCs w:val="21"/>
        </w:rPr>
        <w:t>b)提供的产品和服务，能够满足声明的要求。</w:t>
      </w:r>
    </w:p>
    <w:p w14:paraId="252DBB36">
      <w:pPr>
        <w:spacing w:line="400" w:lineRule="exact"/>
        <w:rPr>
          <w:rFonts w:ascii="宋体" w:hAnsi="宋体"/>
          <w:sz w:val="21"/>
          <w:szCs w:val="21"/>
        </w:rPr>
      </w:pPr>
      <w:r>
        <w:rPr>
          <w:rFonts w:hint="eastAsia" w:ascii="宋体" w:hAnsi="宋体"/>
          <w:sz w:val="21"/>
          <w:szCs w:val="21"/>
        </w:rPr>
        <w:t>8.2.3产品和服务要求的评审</w:t>
      </w:r>
    </w:p>
    <w:p w14:paraId="46A1E68D">
      <w:pPr>
        <w:spacing w:line="400" w:lineRule="exact"/>
        <w:rPr>
          <w:rFonts w:ascii="宋体" w:hAnsi="宋体"/>
          <w:sz w:val="21"/>
          <w:szCs w:val="21"/>
        </w:rPr>
      </w:pPr>
      <w:r>
        <w:rPr>
          <w:rFonts w:ascii="宋体" w:hAnsi="宋体"/>
          <w:sz w:val="21"/>
          <w:szCs w:val="21"/>
        </w:rPr>
        <w:t>8.2.3.1</w:t>
      </w:r>
      <w:r>
        <w:rPr>
          <w:rFonts w:hint="eastAsia" w:ascii="宋体" w:hAnsi="宋体"/>
          <w:sz w:val="21"/>
          <w:szCs w:val="21"/>
        </w:rPr>
        <w:t>公司</w:t>
      </w:r>
      <w:r>
        <w:rPr>
          <w:rFonts w:ascii="宋体" w:hAnsi="宋体"/>
          <w:sz w:val="21"/>
          <w:szCs w:val="21"/>
        </w:rPr>
        <w:t>为确保有能力满足顾客要求</w:t>
      </w:r>
      <w:r>
        <w:rPr>
          <w:rFonts w:hint="eastAsia" w:ascii="宋体" w:hAnsi="宋体"/>
          <w:sz w:val="21"/>
          <w:szCs w:val="21"/>
        </w:rPr>
        <w:t>，市场部</w:t>
      </w:r>
      <w:r>
        <w:rPr>
          <w:rFonts w:ascii="宋体" w:hAnsi="宋体"/>
          <w:sz w:val="21"/>
          <w:szCs w:val="21"/>
        </w:rPr>
        <w:t>在合同</w:t>
      </w:r>
      <w:r>
        <w:rPr>
          <w:rFonts w:hint="eastAsia" w:ascii="宋体" w:hAnsi="宋体"/>
          <w:sz w:val="21"/>
          <w:szCs w:val="21"/>
        </w:rPr>
        <w:t>签订</w:t>
      </w:r>
      <w:r>
        <w:rPr>
          <w:rFonts w:ascii="宋体" w:hAnsi="宋体"/>
          <w:sz w:val="21"/>
          <w:szCs w:val="21"/>
        </w:rPr>
        <w:t>之前，应对如下各项要求进行评审：</w:t>
      </w:r>
    </w:p>
    <w:p w14:paraId="174F20D5">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)顾客规定的要求，包括对交付及交付后活动的要求；</w:t>
      </w:r>
    </w:p>
    <w:p w14:paraId="3C45D5B8">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)顾客虽然没有明示，但规定的用途或已知的预期用途所必需的要求；</w:t>
      </w:r>
    </w:p>
    <w:p w14:paraId="49D7F0B3">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)公司规定的要求；</w:t>
      </w:r>
    </w:p>
    <w:p w14:paraId="707FDD3C">
      <w:pPr>
        <w:spacing w:line="400" w:lineRule="exact"/>
        <w:ind w:firstLine="420" w:firstLineChars="200"/>
        <w:rPr>
          <w:rFonts w:ascii="宋体" w:hAnsi="宋体"/>
          <w:sz w:val="21"/>
          <w:szCs w:val="21"/>
        </w:rPr>
      </w:pPr>
      <w:r>
        <w:rPr>
          <w:rFonts w:ascii="宋体" w:hAnsi="宋体"/>
          <w:sz w:val="21"/>
          <w:szCs w:val="21"/>
        </w:rPr>
        <w:t>d)适用于产品和服务的法律法规要求；</w:t>
      </w:r>
    </w:p>
    <w:p w14:paraId="522CF245">
      <w:pPr>
        <w:spacing w:line="400" w:lineRule="exact"/>
        <w:ind w:firstLine="420" w:firstLineChars="200"/>
        <w:rPr>
          <w:rFonts w:ascii="宋体" w:hAnsi="宋体"/>
          <w:sz w:val="21"/>
          <w:szCs w:val="21"/>
        </w:rPr>
      </w:pPr>
      <w:r>
        <w:rPr>
          <w:rFonts w:ascii="宋体" w:hAnsi="宋体"/>
          <w:sz w:val="21"/>
          <w:szCs w:val="21"/>
        </w:rPr>
        <w:t>e)与先前表述存在差异的合同或订单要求</w:t>
      </w:r>
      <w:r>
        <w:rPr>
          <w:rFonts w:hint="eastAsia" w:ascii="宋体" w:hAnsi="宋体"/>
          <w:sz w:val="21"/>
          <w:szCs w:val="21"/>
        </w:rPr>
        <w:t>；</w:t>
      </w:r>
    </w:p>
    <w:p w14:paraId="1753C38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f)风险及其控制措施。</w:t>
      </w:r>
    </w:p>
    <w:p w14:paraId="657289A5">
      <w:pPr>
        <w:spacing w:line="400" w:lineRule="exact"/>
        <w:ind w:firstLine="420" w:firstLineChars="200"/>
        <w:rPr>
          <w:rFonts w:ascii="宋体" w:hAnsi="宋体"/>
          <w:sz w:val="21"/>
          <w:szCs w:val="21"/>
        </w:rPr>
      </w:pPr>
      <w:r>
        <w:rPr>
          <w:rFonts w:ascii="宋体" w:hAnsi="宋体"/>
          <w:sz w:val="21"/>
          <w:szCs w:val="21"/>
        </w:rPr>
        <w:t>若与先前合同或订单的要求存在差异，公司应与顾客确认，确保没有分歧。</w:t>
      </w:r>
    </w:p>
    <w:p w14:paraId="10271FC1">
      <w:pPr>
        <w:spacing w:line="400" w:lineRule="exact"/>
        <w:ind w:firstLine="420" w:firstLineChars="200"/>
        <w:rPr>
          <w:rFonts w:ascii="宋体" w:hAnsi="宋体"/>
          <w:sz w:val="21"/>
          <w:szCs w:val="21"/>
        </w:rPr>
      </w:pPr>
      <w:r>
        <w:rPr>
          <w:rFonts w:ascii="宋体" w:hAnsi="宋体"/>
          <w:sz w:val="21"/>
          <w:szCs w:val="21"/>
        </w:rPr>
        <w:t>对于顾客</w:t>
      </w:r>
      <w:r>
        <w:rPr>
          <w:rFonts w:hint="eastAsia" w:ascii="宋体" w:hAnsi="宋体"/>
          <w:sz w:val="21"/>
          <w:szCs w:val="21"/>
        </w:rPr>
        <w:t>没有提供成文的要求，如</w:t>
      </w:r>
      <w:r>
        <w:rPr>
          <w:rFonts w:ascii="宋体" w:hAnsi="宋体"/>
          <w:sz w:val="21"/>
          <w:szCs w:val="21"/>
        </w:rPr>
        <w:t>口头或电话订单，在接受顾客要求前应对顾客要求进行确认。</w:t>
      </w:r>
    </w:p>
    <w:p w14:paraId="358BDA26">
      <w:pPr>
        <w:spacing w:line="400" w:lineRule="exact"/>
        <w:rPr>
          <w:rFonts w:ascii="宋体" w:hAnsi="宋体"/>
          <w:sz w:val="21"/>
          <w:szCs w:val="21"/>
        </w:rPr>
      </w:pPr>
      <w:r>
        <w:rPr>
          <w:rFonts w:ascii="宋体" w:hAnsi="宋体"/>
          <w:sz w:val="21"/>
          <w:szCs w:val="21"/>
        </w:rPr>
        <w:t>8.2.3.2适用时，应保留下列信息：</w:t>
      </w:r>
    </w:p>
    <w:p w14:paraId="7B24FB11">
      <w:pPr>
        <w:spacing w:line="400" w:lineRule="exact"/>
        <w:ind w:firstLine="420" w:firstLineChars="200"/>
        <w:rPr>
          <w:rFonts w:ascii="宋体" w:hAnsi="宋体"/>
          <w:sz w:val="21"/>
          <w:szCs w:val="21"/>
        </w:rPr>
      </w:pPr>
      <w:r>
        <w:rPr>
          <w:rFonts w:ascii="宋体" w:hAnsi="宋体"/>
          <w:sz w:val="21"/>
          <w:szCs w:val="21"/>
        </w:rPr>
        <w:t>a)合同评审结果；</w:t>
      </w:r>
    </w:p>
    <w:p w14:paraId="23FD7A04">
      <w:pPr>
        <w:spacing w:line="400" w:lineRule="exact"/>
        <w:ind w:firstLine="420" w:firstLineChars="200"/>
        <w:rPr>
          <w:rFonts w:ascii="宋体" w:hAnsi="宋体"/>
          <w:sz w:val="21"/>
          <w:szCs w:val="21"/>
        </w:rPr>
      </w:pPr>
      <w:r>
        <w:rPr>
          <w:rFonts w:ascii="宋体" w:hAnsi="宋体"/>
          <w:sz w:val="21"/>
          <w:szCs w:val="21"/>
        </w:rPr>
        <w:t>b)针对产品和服务的新要求。</w:t>
      </w:r>
    </w:p>
    <w:p w14:paraId="1D1A239A">
      <w:pPr>
        <w:spacing w:line="400" w:lineRule="exact"/>
        <w:rPr>
          <w:rFonts w:ascii="宋体" w:hAnsi="宋体"/>
          <w:szCs w:val="28"/>
        </w:rPr>
      </w:pPr>
      <w:r>
        <w:rPr>
          <w:rFonts w:ascii="宋体" w:hAnsi="宋体"/>
          <w:sz w:val="21"/>
          <w:szCs w:val="21"/>
        </w:rPr>
        <w:t>8.2.4产品和服务要求的更改</w:t>
      </w:r>
    </w:p>
    <w:p w14:paraId="2B061B8E">
      <w:pPr>
        <w:widowControl/>
        <w:spacing w:line="400" w:lineRule="exact"/>
        <w:ind w:firstLine="420" w:firstLineChars="200"/>
        <w:rPr>
          <w:rFonts w:ascii="宋体" w:hAnsi="宋体"/>
          <w:sz w:val="21"/>
          <w:szCs w:val="21"/>
        </w:rPr>
      </w:pPr>
      <w:r>
        <w:rPr>
          <w:rFonts w:hint="eastAsia" w:ascii="宋体" w:hAnsi="宋体"/>
          <w:sz w:val="21"/>
          <w:szCs w:val="21"/>
        </w:rPr>
        <w:t>若产品和服务要求发生更改（无论是顾客提出，还是公司提出），市场部应确保相关的成文信息得到修改，并确保相关技术、生产、检验等部门的人员知道已更改的要求。</w:t>
      </w:r>
      <w:r>
        <w:rPr>
          <w:rFonts w:hint="eastAsia" w:ascii="楷体" w:hAnsi="楷体" w:eastAsia="楷体"/>
          <w:bCs/>
          <w:sz w:val="21"/>
          <w:szCs w:val="21"/>
        </w:rPr>
        <w:t>若产品和服务要求发生更改影响到实现顾客要求时，其更改应征得顾客的同意。</w:t>
      </w:r>
    </w:p>
    <w:p w14:paraId="18C5C30D">
      <w:pPr>
        <w:pStyle w:val="3"/>
        <w:spacing w:before="240" w:beforeLines="100" w:after="120" w:afterLines="50" w:line="400" w:lineRule="exact"/>
        <w:rPr>
          <w:rFonts w:ascii="宋体" w:hAnsi="宋体" w:eastAsia="宋体"/>
          <w:szCs w:val="28"/>
        </w:rPr>
      </w:pPr>
      <w:bookmarkStart w:id="112" w:name="_Toc509845150"/>
      <w:bookmarkStart w:id="113" w:name="_Toc509844128"/>
      <w:bookmarkStart w:id="114" w:name="_Toc509844818"/>
      <w:bookmarkStart w:id="115" w:name="_Toc521509462"/>
      <w:r>
        <w:rPr>
          <w:rFonts w:hint="eastAsia" w:ascii="宋体" w:hAnsi="宋体" w:eastAsia="宋体"/>
          <w:sz w:val="24"/>
          <w:szCs w:val="24"/>
        </w:rPr>
        <w:t>8.3产品和服务的设计和开发</w:t>
      </w:r>
      <w:bookmarkEnd w:id="112"/>
      <w:bookmarkEnd w:id="113"/>
      <w:bookmarkEnd w:id="114"/>
      <w:bookmarkEnd w:id="115"/>
    </w:p>
    <w:p w14:paraId="36B61293">
      <w:pPr>
        <w:spacing w:line="400" w:lineRule="exact"/>
        <w:rPr>
          <w:rFonts w:ascii="宋体" w:hAnsi="宋体"/>
          <w:sz w:val="21"/>
          <w:szCs w:val="21"/>
        </w:rPr>
      </w:pPr>
      <w:r>
        <w:rPr>
          <w:rFonts w:ascii="宋体" w:hAnsi="宋体"/>
          <w:sz w:val="21"/>
          <w:szCs w:val="21"/>
        </w:rPr>
        <w:t>8.3.1总则</w:t>
      </w:r>
    </w:p>
    <w:p w14:paraId="6422F784">
      <w:pPr>
        <w:spacing w:line="400" w:lineRule="exact"/>
        <w:ind w:firstLine="420" w:firstLineChars="200"/>
        <w:rPr>
          <w:rFonts w:ascii="宋体" w:hAnsi="宋体"/>
          <w:sz w:val="21"/>
          <w:szCs w:val="21"/>
        </w:rPr>
      </w:pPr>
      <w:r>
        <w:rPr>
          <w:rFonts w:hint="eastAsia" w:ascii="宋体" w:hAnsi="宋体"/>
          <w:sz w:val="21"/>
          <w:szCs w:val="21"/>
        </w:rPr>
        <w:t>公司研发部负责产品和服务的设计和开发工作</w:t>
      </w:r>
      <w:r>
        <w:rPr>
          <w:rFonts w:ascii="宋体" w:hAnsi="宋体"/>
          <w:sz w:val="21"/>
          <w:szCs w:val="21"/>
        </w:rPr>
        <w:t>，以确保后续的产品和服务的提供。</w:t>
      </w:r>
    </w:p>
    <w:p w14:paraId="6FD8A532">
      <w:pPr>
        <w:spacing w:line="400" w:lineRule="exact"/>
        <w:ind w:firstLine="420" w:firstLineChars="200"/>
        <w:rPr>
          <w:rFonts w:ascii="宋体" w:hAnsi="宋体"/>
          <w:sz w:val="21"/>
          <w:szCs w:val="21"/>
        </w:rPr>
      </w:pPr>
      <w:r>
        <w:rPr>
          <w:rFonts w:hint="eastAsia" w:ascii="宋体" w:hAnsi="宋体"/>
          <w:sz w:val="21"/>
          <w:szCs w:val="21"/>
        </w:rPr>
        <w:t>产品和服务的设计和开发按照《产品和服务实现策划、设计和开发控制程序》规定执行。</w:t>
      </w:r>
    </w:p>
    <w:p w14:paraId="53FFA018">
      <w:pPr>
        <w:spacing w:line="400" w:lineRule="exact"/>
        <w:ind w:firstLine="420" w:firstLineChars="200"/>
        <w:rPr>
          <w:rFonts w:ascii="宋体" w:hAnsi="宋体"/>
          <w:sz w:val="21"/>
          <w:szCs w:val="21"/>
        </w:rPr>
      </w:pPr>
      <w:r>
        <w:rPr>
          <w:rFonts w:ascii="宋体" w:hAnsi="宋体"/>
          <w:sz w:val="21"/>
          <w:szCs w:val="21"/>
        </w:rPr>
        <w:t xml:space="preserve"> </w:t>
      </w:r>
    </w:p>
    <w:p w14:paraId="7FD572BE">
      <w:pPr>
        <w:spacing w:line="400" w:lineRule="exact"/>
        <w:ind w:firstLine="420" w:firstLineChars="200"/>
        <w:rPr>
          <w:rFonts w:ascii="宋体" w:hAnsi="宋体"/>
          <w:sz w:val="21"/>
          <w:szCs w:val="21"/>
        </w:rPr>
      </w:pPr>
      <w:r>
        <w:rPr>
          <w:rFonts w:ascii="宋体" w:hAnsi="宋体"/>
          <w:sz w:val="21"/>
          <w:szCs w:val="21"/>
        </w:rPr>
        <w:t>公司质量管理体系范围内的产品可</w:t>
      </w:r>
      <w:r>
        <w:rPr>
          <w:rFonts w:hint="eastAsia" w:ascii="宋体" w:hAnsi="宋体"/>
          <w:sz w:val="21"/>
          <w:szCs w:val="21"/>
        </w:rPr>
        <w:t>根据</w:t>
      </w:r>
      <w:r>
        <w:rPr>
          <w:rFonts w:ascii="宋体" w:hAnsi="宋体"/>
          <w:sz w:val="21"/>
          <w:szCs w:val="21"/>
        </w:rPr>
        <w:t>项目特点</w:t>
      </w:r>
      <w:r>
        <w:rPr>
          <w:rFonts w:hint="eastAsia" w:ascii="宋体" w:hAnsi="宋体"/>
          <w:sz w:val="21"/>
          <w:szCs w:val="21"/>
        </w:rPr>
        <w:t>、产品情况、复杂程度、技术成熟度、资源配置、人员经验等的</w:t>
      </w:r>
      <w:r>
        <w:rPr>
          <w:rFonts w:ascii="宋体" w:hAnsi="宋体"/>
          <w:sz w:val="21"/>
          <w:szCs w:val="21"/>
        </w:rPr>
        <w:t>不同，从瀑布模型、</w:t>
      </w:r>
      <w:r>
        <w:rPr>
          <w:rFonts w:hint="eastAsia" w:ascii="宋体" w:hAnsi="宋体"/>
          <w:sz w:val="21"/>
          <w:szCs w:val="21"/>
        </w:rPr>
        <w:t>快速</w:t>
      </w:r>
      <w:r>
        <w:rPr>
          <w:rFonts w:ascii="宋体" w:hAnsi="宋体"/>
          <w:sz w:val="21"/>
          <w:szCs w:val="21"/>
        </w:rPr>
        <w:t>模型、增量模型</w:t>
      </w:r>
      <w:r>
        <w:rPr>
          <w:rFonts w:hint="eastAsia" w:ascii="宋体" w:hAnsi="宋体"/>
          <w:sz w:val="21"/>
          <w:szCs w:val="21"/>
        </w:rPr>
        <w:t>三种</w:t>
      </w:r>
      <w:r>
        <w:rPr>
          <w:rFonts w:ascii="宋体" w:hAnsi="宋体"/>
          <w:sz w:val="21"/>
          <w:szCs w:val="21"/>
        </w:rPr>
        <w:t>软件生存周期模型中</w:t>
      </w:r>
      <w:r>
        <w:rPr>
          <w:rFonts w:hint="eastAsia" w:ascii="宋体" w:hAnsi="宋体"/>
          <w:sz w:val="21"/>
          <w:szCs w:val="21"/>
        </w:rPr>
        <w:t>选择</w:t>
      </w:r>
      <w:r>
        <w:rPr>
          <w:rFonts w:ascii="宋体" w:hAnsi="宋体"/>
          <w:sz w:val="21"/>
          <w:szCs w:val="21"/>
        </w:rPr>
        <w:t>适用的</w:t>
      </w:r>
      <w:r>
        <w:rPr>
          <w:rFonts w:hint="eastAsia" w:ascii="宋体" w:hAnsi="宋体"/>
          <w:sz w:val="21"/>
          <w:szCs w:val="21"/>
        </w:rPr>
        <w:t>模型</w:t>
      </w:r>
      <w:r>
        <w:rPr>
          <w:rFonts w:ascii="宋体" w:hAnsi="宋体"/>
          <w:sz w:val="21"/>
          <w:szCs w:val="21"/>
        </w:rPr>
        <w:t>，</w:t>
      </w:r>
      <w:r>
        <w:rPr>
          <w:rFonts w:hint="eastAsia" w:ascii="宋体" w:hAnsi="宋体"/>
          <w:sz w:val="21"/>
          <w:szCs w:val="21"/>
        </w:rPr>
        <w:t>还可根据</w:t>
      </w:r>
      <w:r>
        <w:rPr>
          <w:rFonts w:ascii="宋体" w:hAnsi="宋体"/>
          <w:sz w:val="21"/>
          <w:szCs w:val="21"/>
        </w:rPr>
        <w:t>需要依据《裁剪指南</w:t>
      </w:r>
      <w:r>
        <w:rPr>
          <w:rFonts w:hint="eastAsia" w:ascii="宋体" w:hAnsi="宋体"/>
          <w:sz w:val="21"/>
          <w:szCs w:val="21"/>
        </w:rPr>
        <w:t>》</w:t>
      </w:r>
      <w:r>
        <w:rPr>
          <w:rFonts w:ascii="宋体" w:hAnsi="宋体"/>
          <w:sz w:val="21"/>
          <w:szCs w:val="21"/>
        </w:rPr>
        <w:t>有关要求进行</w:t>
      </w:r>
      <w:r>
        <w:rPr>
          <w:rFonts w:hint="eastAsia" w:ascii="宋体" w:hAnsi="宋体"/>
          <w:sz w:val="21"/>
          <w:szCs w:val="21"/>
        </w:rPr>
        <w:t>裁剪</w:t>
      </w:r>
      <w:r>
        <w:rPr>
          <w:rFonts w:ascii="宋体" w:hAnsi="宋体"/>
          <w:sz w:val="21"/>
          <w:szCs w:val="21"/>
        </w:rPr>
        <w:t>。</w:t>
      </w:r>
    </w:p>
    <w:p w14:paraId="7C35FB12">
      <w:pPr>
        <w:spacing w:line="400" w:lineRule="exact"/>
        <w:ind w:firstLine="420" w:firstLineChars="200"/>
        <w:rPr>
          <w:rFonts w:ascii="宋体" w:hAnsi="宋体"/>
          <w:sz w:val="21"/>
          <w:szCs w:val="21"/>
        </w:rPr>
      </w:pPr>
      <w:r>
        <w:rPr>
          <w:rFonts w:ascii="宋体" w:hAnsi="宋体"/>
          <w:sz w:val="21"/>
          <w:szCs w:val="21"/>
        </w:rPr>
        <w:t>8.3.1</w:t>
      </w:r>
      <w:r>
        <w:rPr>
          <w:rFonts w:hint="eastAsia" w:ascii="宋体" w:hAnsi="宋体"/>
          <w:sz w:val="21"/>
          <w:szCs w:val="21"/>
        </w:rPr>
        <w:t>.1</w:t>
      </w:r>
      <w:r>
        <w:rPr>
          <w:rFonts w:hint="eastAsia"/>
          <w:sz w:val="21"/>
          <w:szCs w:val="21"/>
        </w:rPr>
        <w:t>瀑布</w:t>
      </w:r>
      <w:r>
        <w:rPr>
          <w:sz w:val="21"/>
          <w:szCs w:val="21"/>
        </w:rPr>
        <w:t>模型</w:t>
      </w:r>
    </w:p>
    <w:p w14:paraId="0C473E4D">
      <w:pPr>
        <w:spacing w:line="400" w:lineRule="exact"/>
        <w:ind w:firstLine="420" w:firstLineChars="200"/>
        <w:rPr>
          <w:rFonts w:ascii="宋体" w:hAnsi="宋体"/>
          <w:sz w:val="21"/>
          <w:szCs w:val="21"/>
        </w:rPr>
      </w:pPr>
      <w:r>
        <w:rPr>
          <w:rFonts w:hint="eastAsia" w:ascii="宋体" w:hAnsi="宋体"/>
          <w:sz w:val="21"/>
          <w:szCs w:val="21"/>
        </w:rPr>
        <w:t>瀑布模型</w:t>
      </w:r>
      <w:r>
        <w:rPr>
          <w:rFonts w:ascii="宋体" w:hAnsi="宋体"/>
          <w:sz w:val="21"/>
          <w:szCs w:val="21"/>
        </w:rPr>
        <w:t>是高可靠性软件研制时的</w:t>
      </w:r>
      <w:r>
        <w:rPr>
          <w:rFonts w:hint="eastAsia" w:ascii="宋体" w:hAnsi="宋体"/>
          <w:sz w:val="21"/>
          <w:szCs w:val="21"/>
        </w:rPr>
        <w:t>首选</w:t>
      </w:r>
      <w:r>
        <w:rPr>
          <w:rFonts w:ascii="宋体" w:hAnsi="宋体"/>
          <w:sz w:val="21"/>
          <w:szCs w:val="21"/>
        </w:rPr>
        <w:t>模型</w:t>
      </w:r>
      <w:r>
        <w:rPr>
          <w:rFonts w:hint="eastAsia" w:ascii="宋体" w:hAnsi="宋体"/>
          <w:sz w:val="21"/>
          <w:szCs w:val="21"/>
        </w:rPr>
        <w:t>，</w:t>
      </w:r>
      <w:r>
        <w:rPr>
          <w:rFonts w:ascii="宋体" w:hAnsi="宋体"/>
          <w:sz w:val="21"/>
          <w:szCs w:val="21"/>
        </w:rPr>
        <w:t>便于实时监控项目的进展情况</w:t>
      </w:r>
      <w:r>
        <w:rPr>
          <w:rFonts w:hint="eastAsia" w:ascii="宋体" w:hAnsi="宋体"/>
          <w:sz w:val="21"/>
          <w:szCs w:val="21"/>
        </w:rPr>
        <w:t>，</w:t>
      </w:r>
      <w:r>
        <w:rPr>
          <w:rFonts w:ascii="宋体" w:hAnsi="宋体"/>
          <w:sz w:val="21"/>
          <w:szCs w:val="21"/>
        </w:rPr>
        <w:t>也便于验证和确认所有可交付的工作产品（不局限</w:t>
      </w:r>
      <w:r>
        <w:rPr>
          <w:rFonts w:hint="eastAsia" w:ascii="宋体" w:hAnsi="宋体"/>
          <w:sz w:val="21"/>
          <w:szCs w:val="21"/>
        </w:rPr>
        <w:t>于</w:t>
      </w:r>
      <w:r>
        <w:rPr>
          <w:rFonts w:ascii="宋体" w:hAnsi="宋体"/>
          <w:sz w:val="21"/>
          <w:szCs w:val="21"/>
        </w:rPr>
        <w:t>软件产品）</w:t>
      </w:r>
      <w:r>
        <w:rPr>
          <w:rFonts w:hint="eastAsia" w:ascii="宋体" w:hAnsi="宋体"/>
          <w:sz w:val="21"/>
          <w:szCs w:val="21"/>
        </w:rPr>
        <w:t>。该模型各项活动严格按照线性方式进行，强调文档的作用，并要求每个阶段进行仔细验证，为</w:t>
      </w:r>
      <w:r>
        <w:rPr>
          <w:rFonts w:ascii="宋体" w:hAnsi="宋体"/>
          <w:sz w:val="21"/>
          <w:szCs w:val="21"/>
        </w:rPr>
        <w:t>保障软件质量</w:t>
      </w:r>
      <w:r>
        <w:rPr>
          <w:rFonts w:hint="eastAsia" w:ascii="宋体" w:hAnsi="宋体"/>
          <w:sz w:val="21"/>
          <w:szCs w:val="21"/>
        </w:rPr>
        <w:t>提供了</w:t>
      </w:r>
      <w:r>
        <w:rPr>
          <w:rFonts w:ascii="宋体" w:hAnsi="宋体"/>
          <w:sz w:val="21"/>
          <w:szCs w:val="21"/>
        </w:rPr>
        <w:t>可靠的渠道</w:t>
      </w:r>
      <w:r>
        <w:rPr>
          <w:rFonts w:hint="eastAsia" w:ascii="宋体" w:hAnsi="宋体"/>
          <w:sz w:val="21"/>
          <w:szCs w:val="21"/>
        </w:rPr>
        <w:t>。</w:t>
      </w:r>
    </w:p>
    <w:p w14:paraId="75F20439">
      <w:pPr>
        <w:spacing w:line="400" w:lineRule="exact"/>
        <w:ind w:firstLine="420" w:firstLineChars="200"/>
        <w:rPr>
          <w:rFonts w:ascii="宋体" w:hAnsi="宋体"/>
          <w:sz w:val="21"/>
          <w:szCs w:val="21"/>
        </w:rPr>
      </w:pPr>
      <w:r>
        <w:rPr>
          <w:rFonts w:hint="eastAsia" w:ascii="宋体" w:hAnsi="宋体"/>
          <w:sz w:val="21"/>
          <w:szCs w:val="21"/>
        </w:rPr>
        <w:t>但瀑布模型不易</w:t>
      </w:r>
      <w:r>
        <w:rPr>
          <w:rFonts w:ascii="宋体" w:hAnsi="宋体"/>
          <w:sz w:val="21"/>
          <w:szCs w:val="21"/>
        </w:rPr>
        <w:t>处理需求</w:t>
      </w:r>
      <w:r>
        <w:rPr>
          <w:rFonts w:hint="eastAsia" w:ascii="宋体" w:hAnsi="宋体"/>
          <w:sz w:val="21"/>
          <w:szCs w:val="21"/>
        </w:rPr>
        <w:t>变化</w:t>
      </w:r>
      <w:r>
        <w:rPr>
          <w:rFonts w:ascii="宋体" w:hAnsi="宋体"/>
          <w:sz w:val="21"/>
          <w:szCs w:val="21"/>
        </w:rPr>
        <w:t>较频繁的情况；</w:t>
      </w:r>
      <w:r>
        <w:rPr>
          <w:rFonts w:hint="eastAsia" w:ascii="宋体" w:hAnsi="宋体"/>
          <w:sz w:val="21"/>
          <w:szCs w:val="21"/>
        </w:rPr>
        <w:t>且</w:t>
      </w:r>
      <w:r>
        <w:rPr>
          <w:rFonts w:ascii="宋体" w:hAnsi="宋体"/>
          <w:sz w:val="21"/>
          <w:szCs w:val="21"/>
        </w:rPr>
        <w:t>由于</w:t>
      </w:r>
      <w:r>
        <w:rPr>
          <w:rFonts w:hint="eastAsia" w:ascii="宋体" w:hAnsi="宋体"/>
          <w:sz w:val="21"/>
          <w:szCs w:val="21"/>
        </w:rPr>
        <w:t>测试</w:t>
      </w:r>
      <w:r>
        <w:rPr>
          <w:rFonts w:ascii="宋体" w:hAnsi="宋体"/>
          <w:sz w:val="21"/>
          <w:szCs w:val="21"/>
        </w:rPr>
        <w:t>较晚，导致若修改需求将对计划造成较大影响。</w:t>
      </w:r>
    </w:p>
    <w:p w14:paraId="63487815">
      <w:pPr>
        <w:spacing w:line="400" w:lineRule="exact"/>
        <w:ind w:firstLine="560" w:firstLineChars="200"/>
        <w:rPr>
          <w:rFonts w:ascii="宋体" w:hAnsi="宋体"/>
          <w:sz w:val="21"/>
          <w:szCs w:val="21"/>
        </w:rPr>
      </w:pPr>
      <w:r>
        <w:drawing>
          <wp:anchor distT="0" distB="0" distL="114300" distR="114300" simplePos="0" relativeHeight="251663360" behindDoc="0" locked="0" layoutInCell="1" allowOverlap="1">
            <wp:simplePos x="0" y="0"/>
            <wp:positionH relativeFrom="column">
              <wp:posOffset>201930</wp:posOffset>
            </wp:positionH>
            <wp:positionV relativeFrom="paragraph">
              <wp:posOffset>198755</wp:posOffset>
            </wp:positionV>
            <wp:extent cx="5133340" cy="6347460"/>
            <wp:effectExtent l="0" t="0" r="2540" b="7620"/>
            <wp:wrapNone/>
            <wp:docPr id="180" name="图片 180" descr="瀑布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瀑布模型"/>
                    <pic:cNvPicPr>
                      <a:picLocks noChangeAspect="1" noChangeArrowheads="1"/>
                    </pic:cNvPicPr>
                  </pic:nvPicPr>
                  <pic:blipFill>
                    <a:blip r:embed="rId10"/>
                    <a:srcRect l="8376" t="19820" r="4108" b="17064"/>
                    <a:stretch>
                      <a:fillRect/>
                    </a:stretch>
                  </pic:blipFill>
                  <pic:spPr>
                    <a:xfrm>
                      <a:off x="0" y="0"/>
                      <a:ext cx="5133340" cy="6347460"/>
                    </a:xfrm>
                    <a:prstGeom prst="rect">
                      <a:avLst/>
                    </a:prstGeom>
                    <a:noFill/>
                    <a:ln w="9525" cmpd="sng">
                      <a:noFill/>
                      <a:miter lim="800000"/>
                      <a:headEnd/>
                      <a:tailEnd/>
                    </a:ln>
                  </pic:spPr>
                </pic:pic>
              </a:graphicData>
            </a:graphic>
          </wp:anchor>
        </w:drawing>
      </w:r>
    </w:p>
    <w:p w14:paraId="4F7D6B70">
      <w:pPr>
        <w:spacing w:line="400" w:lineRule="exact"/>
        <w:ind w:firstLine="420" w:firstLineChars="200"/>
        <w:rPr>
          <w:rFonts w:ascii="宋体" w:hAnsi="宋体"/>
          <w:sz w:val="21"/>
          <w:szCs w:val="21"/>
        </w:rPr>
      </w:pPr>
    </w:p>
    <w:p w14:paraId="0E1C431D">
      <w:pPr>
        <w:spacing w:line="400" w:lineRule="exact"/>
        <w:ind w:firstLine="420" w:firstLineChars="200"/>
        <w:rPr>
          <w:rFonts w:ascii="宋体" w:hAnsi="宋体"/>
          <w:sz w:val="21"/>
          <w:szCs w:val="21"/>
        </w:rPr>
      </w:pPr>
    </w:p>
    <w:p w14:paraId="2F38C8CD">
      <w:pPr>
        <w:spacing w:line="400" w:lineRule="exact"/>
        <w:ind w:firstLine="420" w:firstLineChars="200"/>
        <w:rPr>
          <w:rFonts w:ascii="宋体" w:hAnsi="宋体"/>
          <w:sz w:val="21"/>
          <w:szCs w:val="21"/>
        </w:rPr>
      </w:pPr>
    </w:p>
    <w:p w14:paraId="5DAE5E4B">
      <w:pPr>
        <w:spacing w:line="400" w:lineRule="exact"/>
        <w:ind w:firstLine="420" w:firstLineChars="200"/>
        <w:rPr>
          <w:rFonts w:ascii="宋体" w:hAnsi="宋体"/>
          <w:sz w:val="21"/>
          <w:szCs w:val="21"/>
        </w:rPr>
      </w:pPr>
    </w:p>
    <w:p w14:paraId="2014034D">
      <w:pPr>
        <w:spacing w:line="400" w:lineRule="exact"/>
        <w:ind w:firstLine="420" w:firstLineChars="200"/>
        <w:rPr>
          <w:rFonts w:ascii="宋体" w:hAnsi="宋体"/>
          <w:sz w:val="21"/>
          <w:szCs w:val="21"/>
        </w:rPr>
      </w:pPr>
    </w:p>
    <w:p w14:paraId="61AA3CA6">
      <w:pPr>
        <w:spacing w:line="400" w:lineRule="exact"/>
        <w:ind w:firstLine="420" w:firstLineChars="200"/>
        <w:rPr>
          <w:rFonts w:ascii="宋体" w:hAnsi="宋体"/>
          <w:sz w:val="21"/>
          <w:szCs w:val="21"/>
        </w:rPr>
      </w:pPr>
    </w:p>
    <w:p w14:paraId="2E206C14">
      <w:pPr>
        <w:spacing w:line="400" w:lineRule="exact"/>
        <w:ind w:firstLine="420" w:firstLineChars="200"/>
        <w:rPr>
          <w:rFonts w:ascii="宋体" w:hAnsi="宋体"/>
          <w:sz w:val="21"/>
          <w:szCs w:val="21"/>
        </w:rPr>
      </w:pPr>
    </w:p>
    <w:p w14:paraId="255230E9">
      <w:pPr>
        <w:spacing w:line="400" w:lineRule="exact"/>
        <w:ind w:firstLine="420" w:firstLineChars="200"/>
        <w:rPr>
          <w:rFonts w:ascii="宋体" w:hAnsi="宋体"/>
          <w:sz w:val="21"/>
          <w:szCs w:val="21"/>
        </w:rPr>
      </w:pPr>
    </w:p>
    <w:p w14:paraId="1D68D309">
      <w:pPr>
        <w:spacing w:line="400" w:lineRule="exact"/>
        <w:ind w:firstLine="420" w:firstLineChars="200"/>
        <w:rPr>
          <w:rFonts w:ascii="宋体" w:hAnsi="宋体"/>
          <w:sz w:val="21"/>
          <w:szCs w:val="21"/>
        </w:rPr>
      </w:pPr>
    </w:p>
    <w:p w14:paraId="49466C44">
      <w:pPr>
        <w:spacing w:line="400" w:lineRule="exact"/>
        <w:ind w:firstLine="420" w:firstLineChars="200"/>
        <w:rPr>
          <w:rFonts w:ascii="宋体" w:hAnsi="宋体"/>
          <w:sz w:val="21"/>
          <w:szCs w:val="21"/>
        </w:rPr>
      </w:pPr>
    </w:p>
    <w:p w14:paraId="35154776">
      <w:pPr>
        <w:spacing w:line="400" w:lineRule="exact"/>
        <w:ind w:firstLine="420" w:firstLineChars="200"/>
        <w:rPr>
          <w:rFonts w:ascii="宋体" w:hAnsi="宋体"/>
          <w:sz w:val="21"/>
          <w:szCs w:val="21"/>
        </w:rPr>
      </w:pPr>
    </w:p>
    <w:p w14:paraId="6F8C26E2">
      <w:pPr>
        <w:spacing w:line="400" w:lineRule="exact"/>
        <w:ind w:firstLine="420" w:firstLineChars="200"/>
        <w:rPr>
          <w:rFonts w:ascii="宋体" w:hAnsi="宋体"/>
          <w:sz w:val="21"/>
          <w:szCs w:val="21"/>
        </w:rPr>
      </w:pPr>
    </w:p>
    <w:p w14:paraId="52E4E08A">
      <w:pPr>
        <w:spacing w:line="400" w:lineRule="exact"/>
        <w:ind w:firstLine="420" w:firstLineChars="200"/>
        <w:rPr>
          <w:rFonts w:ascii="宋体" w:hAnsi="宋体"/>
          <w:sz w:val="21"/>
          <w:szCs w:val="21"/>
        </w:rPr>
      </w:pPr>
    </w:p>
    <w:p w14:paraId="2A7317ED">
      <w:pPr>
        <w:spacing w:line="400" w:lineRule="exact"/>
        <w:ind w:firstLine="420" w:firstLineChars="200"/>
        <w:rPr>
          <w:rFonts w:ascii="宋体" w:hAnsi="宋体"/>
          <w:sz w:val="21"/>
          <w:szCs w:val="21"/>
        </w:rPr>
      </w:pPr>
    </w:p>
    <w:p w14:paraId="7F310826">
      <w:pPr>
        <w:spacing w:line="400" w:lineRule="exact"/>
        <w:ind w:firstLine="420" w:firstLineChars="200"/>
        <w:rPr>
          <w:rFonts w:ascii="宋体" w:hAnsi="宋体"/>
          <w:sz w:val="21"/>
          <w:szCs w:val="21"/>
        </w:rPr>
      </w:pPr>
    </w:p>
    <w:p w14:paraId="209C0D5E">
      <w:pPr>
        <w:spacing w:line="400" w:lineRule="exact"/>
        <w:ind w:firstLine="420" w:firstLineChars="200"/>
        <w:rPr>
          <w:rFonts w:ascii="宋体" w:hAnsi="宋体"/>
          <w:sz w:val="21"/>
          <w:szCs w:val="21"/>
        </w:rPr>
      </w:pPr>
    </w:p>
    <w:p w14:paraId="14821FBB">
      <w:pPr>
        <w:spacing w:line="400" w:lineRule="exact"/>
        <w:ind w:firstLine="420" w:firstLineChars="200"/>
        <w:rPr>
          <w:rFonts w:ascii="宋体" w:hAnsi="宋体"/>
          <w:sz w:val="21"/>
          <w:szCs w:val="21"/>
        </w:rPr>
      </w:pPr>
    </w:p>
    <w:p w14:paraId="7077F146">
      <w:pPr>
        <w:spacing w:line="400" w:lineRule="exact"/>
        <w:ind w:firstLine="420" w:firstLineChars="200"/>
        <w:rPr>
          <w:rFonts w:ascii="宋体" w:hAnsi="宋体"/>
          <w:sz w:val="21"/>
          <w:szCs w:val="21"/>
        </w:rPr>
      </w:pPr>
    </w:p>
    <w:p w14:paraId="2E14F86C">
      <w:pPr>
        <w:spacing w:line="400" w:lineRule="exact"/>
        <w:ind w:firstLine="420" w:firstLineChars="200"/>
        <w:rPr>
          <w:rFonts w:ascii="宋体" w:hAnsi="宋体"/>
          <w:sz w:val="21"/>
          <w:szCs w:val="21"/>
        </w:rPr>
      </w:pPr>
    </w:p>
    <w:p w14:paraId="2940994E">
      <w:pPr>
        <w:spacing w:line="400" w:lineRule="exact"/>
        <w:ind w:firstLine="420" w:firstLineChars="200"/>
        <w:rPr>
          <w:rFonts w:ascii="宋体" w:hAnsi="宋体"/>
          <w:sz w:val="21"/>
          <w:szCs w:val="21"/>
        </w:rPr>
      </w:pPr>
    </w:p>
    <w:p w14:paraId="415DA1AD">
      <w:pPr>
        <w:spacing w:line="400" w:lineRule="exact"/>
        <w:ind w:firstLine="420" w:firstLineChars="200"/>
        <w:rPr>
          <w:rFonts w:ascii="宋体" w:hAnsi="宋体"/>
          <w:sz w:val="21"/>
          <w:szCs w:val="21"/>
        </w:rPr>
      </w:pPr>
    </w:p>
    <w:p w14:paraId="7DA618D4">
      <w:pPr>
        <w:spacing w:line="400" w:lineRule="exact"/>
        <w:ind w:firstLine="420" w:firstLineChars="200"/>
        <w:rPr>
          <w:rFonts w:ascii="宋体" w:hAnsi="宋体"/>
          <w:sz w:val="21"/>
          <w:szCs w:val="21"/>
        </w:rPr>
      </w:pPr>
    </w:p>
    <w:p w14:paraId="031B654E">
      <w:pPr>
        <w:spacing w:line="400" w:lineRule="exact"/>
        <w:ind w:firstLine="420" w:firstLineChars="200"/>
        <w:rPr>
          <w:rFonts w:ascii="宋体" w:hAnsi="宋体"/>
          <w:sz w:val="21"/>
          <w:szCs w:val="21"/>
        </w:rPr>
      </w:pPr>
    </w:p>
    <w:p w14:paraId="3672897F">
      <w:pPr>
        <w:spacing w:line="400" w:lineRule="exact"/>
        <w:ind w:firstLine="420" w:firstLineChars="200"/>
        <w:rPr>
          <w:rFonts w:ascii="宋体" w:hAnsi="宋体"/>
          <w:sz w:val="21"/>
          <w:szCs w:val="21"/>
        </w:rPr>
      </w:pPr>
    </w:p>
    <w:p w14:paraId="764126F5">
      <w:pPr>
        <w:spacing w:line="400" w:lineRule="exact"/>
        <w:rPr>
          <w:rFonts w:ascii="宋体" w:hAnsi="宋体"/>
          <w:sz w:val="21"/>
          <w:szCs w:val="21"/>
        </w:rPr>
      </w:pPr>
    </w:p>
    <w:p w14:paraId="6369570F">
      <w:pPr>
        <w:spacing w:line="400" w:lineRule="exact"/>
        <w:ind w:firstLine="420" w:firstLineChars="200"/>
        <w:rPr>
          <w:rFonts w:ascii="宋体" w:hAnsi="宋体"/>
          <w:sz w:val="21"/>
          <w:szCs w:val="21"/>
        </w:rPr>
      </w:pPr>
    </w:p>
    <w:p w14:paraId="3A85551D">
      <w:pPr>
        <w:spacing w:line="360" w:lineRule="auto"/>
        <w:jc w:val="center"/>
      </w:pPr>
      <w:r>
        <w:rPr>
          <w:rFonts w:hint="eastAsia"/>
          <w:b/>
        </w:rPr>
        <w:t>图1：瀑布</w:t>
      </w:r>
      <w:r>
        <w:rPr>
          <w:b/>
        </w:rPr>
        <w:t>模型下设计和开发</w:t>
      </w:r>
      <w:r>
        <w:rPr>
          <w:rFonts w:hint="eastAsia"/>
          <w:b/>
        </w:rPr>
        <w:t>流程</w:t>
      </w:r>
      <w:r>
        <w:rPr>
          <w:b/>
        </w:rPr>
        <w:t>图</w:t>
      </w:r>
    </w:p>
    <w:p w14:paraId="4C8F7C72">
      <w:pPr>
        <w:spacing w:line="400" w:lineRule="exact"/>
        <w:ind w:firstLine="420" w:firstLineChars="200"/>
        <w:rPr>
          <w:rFonts w:ascii="宋体" w:hAnsi="宋体"/>
          <w:sz w:val="21"/>
          <w:szCs w:val="21"/>
        </w:rPr>
      </w:pPr>
    </w:p>
    <w:p w14:paraId="414C79D8">
      <w:pPr>
        <w:spacing w:line="400" w:lineRule="exact"/>
        <w:rPr>
          <w:rFonts w:ascii="宋体" w:hAnsi="宋体"/>
          <w:sz w:val="21"/>
          <w:szCs w:val="21"/>
        </w:rPr>
      </w:pPr>
    </w:p>
    <w:p w14:paraId="4AAD301E">
      <w:pPr>
        <w:spacing w:line="400" w:lineRule="exact"/>
        <w:rPr>
          <w:rFonts w:ascii="宋体" w:hAnsi="宋体"/>
          <w:sz w:val="21"/>
          <w:szCs w:val="21"/>
        </w:rPr>
      </w:pPr>
      <w:r>
        <w:rPr>
          <w:rFonts w:ascii="宋体" w:hAnsi="宋体"/>
          <w:sz w:val="21"/>
          <w:szCs w:val="21"/>
        </w:rPr>
        <w:t>8.3.2设计和开发策划</w:t>
      </w:r>
    </w:p>
    <w:p w14:paraId="7FCFAF5B">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组织，</w:t>
      </w:r>
      <w:r>
        <w:rPr>
          <w:rFonts w:hint="eastAsia" w:ascii="宋体" w:hAnsi="宋体"/>
          <w:sz w:val="21"/>
          <w:szCs w:val="21"/>
        </w:rPr>
        <w:t>项目组</w:t>
      </w:r>
      <w:r>
        <w:rPr>
          <w:rFonts w:ascii="宋体" w:hAnsi="宋体"/>
          <w:sz w:val="21"/>
          <w:szCs w:val="21"/>
        </w:rPr>
        <w:t>实施，对产品的设计和开发进行策划，对产品的研制过程进行控制，以确保满足规定的要求</w:t>
      </w:r>
      <w:r>
        <w:rPr>
          <w:rFonts w:hint="eastAsia" w:ascii="宋体" w:hAnsi="宋体"/>
          <w:sz w:val="21"/>
          <w:szCs w:val="21"/>
        </w:rPr>
        <w:t>。</w:t>
      </w:r>
    </w:p>
    <w:p w14:paraId="5BA97BE5">
      <w:pPr>
        <w:spacing w:line="400" w:lineRule="exact"/>
        <w:ind w:firstLine="420" w:firstLineChars="200"/>
        <w:rPr>
          <w:rFonts w:ascii="宋体" w:hAnsi="宋体"/>
          <w:sz w:val="21"/>
          <w:szCs w:val="21"/>
        </w:rPr>
      </w:pPr>
      <w:r>
        <w:rPr>
          <w:rFonts w:hint="eastAsia"/>
          <w:sz w:val="21"/>
          <w:szCs w:val="21"/>
        </w:rPr>
        <w:t>软件产品设计和开发过程中分为需求分析、系统设计、软件设计、软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0D24AB7B">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在《软件开发计划》中详细描述软件规模和进度，选择</w:t>
      </w:r>
      <w:r>
        <w:rPr>
          <w:sz w:val="21"/>
          <w:szCs w:val="21"/>
        </w:rPr>
        <w:t>或</w:t>
      </w:r>
      <w:r>
        <w:rPr>
          <w:rFonts w:hint="eastAsia"/>
          <w:sz w:val="21"/>
          <w:szCs w:val="21"/>
        </w:rPr>
        <w:t>定义软件</w:t>
      </w:r>
      <w:r>
        <w:rPr>
          <w:sz w:val="21"/>
          <w:szCs w:val="21"/>
        </w:rPr>
        <w:t>生存周期</w:t>
      </w:r>
      <w:r>
        <w:rPr>
          <w:rFonts w:hint="eastAsia"/>
          <w:sz w:val="21"/>
          <w:szCs w:val="21"/>
        </w:rPr>
        <w:t>模型</w:t>
      </w:r>
      <w:r>
        <w:rPr>
          <w:sz w:val="21"/>
          <w:szCs w:val="21"/>
        </w:rPr>
        <w:t>，</w:t>
      </w:r>
      <w:r>
        <w:rPr>
          <w:rFonts w:hint="eastAsia"/>
          <w:sz w:val="21"/>
          <w:szCs w:val="21"/>
        </w:rPr>
        <w:t>并创建WBS</w:t>
      </w:r>
      <w:r>
        <w:rPr>
          <w:rFonts w:ascii="宋体" w:hAnsi="宋体"/>
          <w:sz w:val="21"/>
          <w:szCs w:val="21"/>
        </w:rPr>
        <w:t>；</w:t>
      </w:r>
    </w:p>
    <w:p w14:paraId="3997281E">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2ABE8D3A">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05112E08">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产品和服务的设计和开发过程所需的内部、外部资源，并在《软件开发计划》中明确描述</w:t>
      </w:r>
      <w:r>
        <w:rPr>
          <w:rFonts w:hint="eastAsia" w:ascii="宋体" w:hAnsi="宋体"/>
          <w:sz w:val="21"/>
          <w:szCs w:val="21"/>
        </w:rPr>
        <w:t xml:space="preserve">； </w:t>
      </w:r>
    </w:p>
    <w:p w14:paraId="6EAB70B1">
      <w:pPr>
        <w:spacing w:line="400" w:lineRule="exact"/>
        <w:ind w:firstLine="420" w:firstLineChars="200"/>
        <w:rPr>
          <w:rFonts w:ascii="宋体" w:hAnsi="宋体"/>
          <w:sz w:val="21"/>
          <w:szCs w:val="21"/>
        </w:rPr>
      </w:pPr>
      <w:r>
        <w:rPr>
          <w:rFonts w:ascii="宋体" w:hAnsi="宋体"/>
          <w:sz w:val="21"/>
          <w:szCs w:val="21"/>
        </w:rPr>
        <w:t>e)</w:t>
      </w:r>
      <w:r>
        <w:rPr>
          <w:rFonts w:ascii="宋体" w:hAnsi="宋体"/>
        </w:rPr>
        <w:t xml:space="preserve"> </w:t>
      </w:r>
      <w:r>
        <w:rPr>
          <w:rFonts w:ascii="宋体" w:hAnsi="宋体"/>
          <w:sz w:val="21"/>
          <w:szCs w:val="21"/>
        </w:rPr>
        <w:t>设计和开发过程参与人员之间接口的控制需求；</w:t>
      </w:r>
    </w:p>
    <w:p w14:paraId="6E744BFB">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 xml:space="preserve"> </w:t>
      </w:r>
      <w:r>
        <w:rPr>
          <w:rFonts w:ascii="宋体" w:hAnsi="宋体"/>
          <w:sz w:val="21"/>
          <w:szCs w:val="21"/>
        </w:rPr>
        <w:t>顾客和使用者参与设计和开发过程的需求；</w:t>
      </w:r>
    </w:p>
    <w:p w14:paraId="366FECE9">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 xml:space="preserve"> </w:t>
      </w:r>
      <w:r>
        <w:rPr>
          <w:rFonts w:ascii="宋体" w:hAnsi="宋体"/>
          <w:sz w:val="21"/>
          <w:szCs w:val="21"/>
        </w:rPr>
        <w:t>后续产品和服务提供的要求；</w:t>
      </w:r>
    </w:p>
    <w:p w14:paraId="445927D4">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22F73585">
      <w:pPr>
        <w:spacing w:line="400" w:lineRule="exact"/>
        <w:ind w:firstLine="420" w:firstLineChars="200"/>
        <w:rPr>
          <w:rFonts w:ascii="宋体" w:hAnsi="宋体"/>
          <w:sz w:val="21"/>
          <w:szCs w:val="21"/>
        </w:rPr>
      </w:pPr>
      <w:r>
        <w:rPr>
          <w:rFonts w:ascii="宋体" w:hAnsi="宋体"/>
          <w:sz w:val="21"/>
          <w:szCs w:val="21"/>
        </w:rPr>
        <w:t>i)</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6722F4D7">
      <w:pPr>
        <w:spacing w:line="400" w:lineRule="exact"/>
        <w:ind w:firstLine="420" w:firstLineChars="200"/>
        <w:rPr>
          <w:rFonts w:ascii="宋体" w:hAnsi="宋体"/>
          <w:sz w:val="21"/>
          <w:szCs w:val="21"/>
        </w:rPr>
      </w:pPr>
      <w:r>
        <w:rPr>
          <w:rFonts w:hint="eastAsia" w:ascii="宋体" w:hAnsi="宋体"/>
          <w:sz w:val="21"/>
          <w:szCs w:val="21"/>
        </w:rPr>
        <w:t>j) 设计、生产和服务等人员共同参与设计和开发活动；</w:t>
      </w:r>
    </w:p>
    <w:p w14:paraId="3FA1333B">
      <w:pPr>
        <w:spacing w:line="400" w:lineRule="exact"/>
        <w:ind w:firstLine="420" w:firstLineChars="200"/>
        <w:rPr>
          <w:rFonts w:ascii="宋体" w:hAnsi="宋体"/>
          <w:sz w:val="21"/>
          <w:szCs w:val="21"/>
        </w:rPr>
      </w:pPr>
      <w:r>
        <w:rPr>
          <w:rFonts w:hint="eastAsia" w:ascii="宋体" w:hAnsi="宋体"/>
          <w:sz w:val="21"/>
          <w:szCs w:val="21"/>
        </w:rPr>
        <w:t xml:space="preserve">k) 根据GJB190和GJBZ 142，公司结合软件工程化的特点，涉及到处理和影响故障的软件单元或模块、中断处理程序、启动安全关键行为的信号的软件或直接影响硬件部件运行或显示安全关键硬件的系统状态的软件为安全关键软件。关键特性、重要软件配置项的设计方案和相关参数是设计评审的重点内容。在系统设计、软件实现过程中应予以重点控制； </w:t>
      </w:r>
    </w:p>
    <w:p w14:paraId="18F05C84">
      <w:pPr>
        <w:spacing w:line="400" w:lineRule="exact"/>
        <w:ind w:firstLine="420" w:firstLineChars="200"/>
        <w:rPr>
          <w:rFonts w:ascii="宋体" w:hAnsi="宋体"/>
          <w:sz w:val="21"/>
          <w:szCs w:val="21"/>
        </w:rPr>
      </w:pPr>
      <w:r>
        <w:rPr>
          <w:rFonts w:hint="eastAsia" w:ascii="宋体" w:hAnsi="宋体"/>
          <w:sz w:val="21"/>
          <w:szCs w:val="21"/>
        </w:rPr>
        <w:t>1) 识别制约产品设计和开发的关键因素和薄弱环节，进行风险分析和评估，形成风险清单，确定风险接受准则和风险控制措施；</w:t>
      </w:r>
    </w:p>
    <w:p w14:paraId="798B0110">
      <w:pPr>
        <w:spacing w:line="400" w:lineRule="exact"/>
        <w:ind w:firstLine="420" w:firstLineChars="200"/>
        <w:rPr>
          <w:rFonts w:ascii="宋体" w:hAnsi="宋体"/>
          <w:sz w:val="21"/>
          <w:szCs w:val="21"/>
        </w:rPr>
      </w:pPr>
      <w:r>
        <w:rPr>
          <w:rFonts w:hint="eastAsia" w:ascii="宋体" w:hAnsi="宋体"/>
          <w:sz w:val="21"/>
          <w:szCs w:val="21"/>
        </w:rPr>
        <w:t>m) 确定产品标准，规范以及使用的工具与技术，标准件、元器件、原材料的选用不适用于本公司，制定和实施产品标准化综合要求，确定设计和开发中使用的标准和规范；</w:t>
      </w:r>
    </w:p>
    <w:p w14:paraId="2FE675AF">
      <w:pPr>
        <w:spacing w:line="400" w:lineRule="exact"/>
        <w:ind w:firstLine="420" w:firstLineChars="200"/>
        <w:rPr>
          <w:rFonts w:ascii="宋体" w:hAnsi="宋体"/>
          <w:sz w:val="21"/>
          <w:szCs w:val="21"/>
        </w:rPr>
      </w:pPr>
      <w:r>
        <w:rPr>
          <w:rFonts w:hint="eastAsia" w:ascii="宋体" w:hAnsi="宋体"/>
          <w:sz w:val="21"/>
          <w:szCs w:val="21"/>
        </w:rPr>
        <w:t>n) 落实配置状态管理计划的措施，编制配置项目录；</w:t>
      </w:r>
    </w:p>
    <w:p w14:paraId="330D412B">
      <w:pPr>
        <w:spacing w:line="400" w:lineRule="exact"/>
        <w:ind w:firstLine="420" w:firstLineChars="200"/>
        <w:rPr>
          <w:rFonts w:ascii="宋体" w:hAnsi="宋体"/>
          <w:sz w:val="21"/>
          <w:szCs w:val="21"/>
        </w:rPr>
      </w:pPr>
      <w:r>
        <w:rPr>
          <w:rFonts w:hint="eastAsia" w:ascii="宋体" w:hAnsi="宋体"/>
          <w:sz w:val="21"/>
          <w:szCs w:val="21"/>
        </w:rPr>
        <w:t>o) 在进行产品设计时应运用功能性、可靠性、易用性、效率、维护性、可移植性的质量特性设计、人因工程设计等专业软件工程技术和系统优化设计方法，综合考虑费效比，优选设计方案；</w:t>
      </w:r>
    </w:p>
    <w:p w14:paraId="0545AD58">
      <w:pPr>
        <w:spacing w:line="400" w:lineRule="exact"/>
        <w:ind w:firstLine="420" w:firstLineChars="200"/>
        <w:rPr>
          <w:rFonts w:ascii="宋体" w:hAnsi="宋体"/>
          <w:sz w:val="21"/>
          <w:szCs w:val="21"/>
        </w:rPr>
      </w:pPr>
      <w:r>
        <w:rPr>
          <w:rFonts w:hint="eastAsia" w:ascii="宋体" w:hAnsi="宋体"/>
          <w:sz w:val="21"/>
          <w:szCs w:val="21"/>
        </w:rPr>
        <w:t>p) 对计算机软件需求分析、设计、实现、测试、验收、交付和使用的全过程进行监视与测量，落实需求管理、策划与跟踪、文档编制、测试、质量保证、配置管理等工作，控制软件开发过程，确保软件开发质量；</w:t>
      </w:r>
    </w:p>
    <w:p w14:paraId="1824D5ED">
      <w:pPr>
        <w:spacing w:line="400" w:lineRule="exact"/>
        <w:ind w:firstLine="420" w:firstLineChars="200"/>
        <w:rPr>
          <w:rFonts w:ascii="宋体" w:hAnsi="宋体"/>
          <w:sz w:val="21"/>
          <w:szCs w:val="21"/>
        </w:rPr>
      </w:pPr>
      <w:r>
        <w:rPr>
          <w:rFonts w:hint="eastAsia" w:ascii="宋体" w:hAnsi="宋体"/>
          <w:sz w:val="21"/>
          <w:szCs w:val="21"/>
        </w:rPr>
        <w:t>q) 对采用的新技术、新方法进行论证、试验、鉴定和评价；</w:t>
      </w:r>
    </w:p>
    <w:p w14:paraId="48389062">
      <w:pPr>
        <w:spacing w:line="400" w:lineRule="exact"/>
        <w:ind w:firstLine="420" w:firstLineChars="200"/>
        <w:rPr>
          <w:rFonts w:ascii="宋体" w:hAnsi="宋体"/>
          <w:sz w:val="21"/>
          <w:szCs w:val="21"/>
        </w:rPr>
      </w:pPr>
      <w:r>
        <w:rPr>
          <w:rFonts w:hint="eastAsia" w:ascii="宋体" w:hAnsi="宋体"/>
          <w:sz w:val="21"/>
          <w:szCs w:val="21"/>
        </w:rPr>
        <w:t>r) 按产品的特性和顾客的要求，确定并提出产品交付时需要配置的保障资源（软件用户手册等）；</w:t>
      </w:r>
    </w:p>
    <w:p w14:paraId="27FD2F6B">
      <w:pPr>
        <w:spacing w:line="400" w:lineRule="exact"/>
        <w:ind w:firstLine="420" w:firstLineChars="200"/>
        <w:rPr>
          <w:rFonts w:ascii="宋体" w:hAnsi="宋体"/>
          <w:sz w:val="21"/>
          <w:szCs w:val="21"/>
        </w:rPr>
      </w:pPr>
      <w:r>
        <w:rPr>
          <w:rFonts w:hint="eastAsia" w:ascii="宋体" w:hAnsi="宋体"/>
          <w:sz w:val="21"/>
          <w:szCs w:val="21"/>
        </w:rPr>
        <w:t>s) 综合行政部应按供方评价方法，组织对参与设计和开发的供方进行质量监控(见8.4)；</w:t>
      </w:r>
    </w:p>
    <w:p w14:paraId="7DCC8543">
      <w:pPr>
        <w:spacing w:line="400" w:lineRule="exact"/>
        <w:ind w:firstLine="420" w:firstLineChars="200"/>
        <w:rPr>
          <w:rFonts w:ascii="宋体" w:hAnsi="宋体"/>
          <w:sz w:val="21"/>
          <w:szCs w:val="21"/>
        </w:rPr>
      </w:pPr>
      <w:r>
        <w:rPr>
          <w:rFonts w:hint="eastAsia" w:ascii="宋体" w:hAnsi="宋体"/>
          <w:sz w:val="21"/>
          <w:szCs w:val="21"/>
        </w:rPr>
        <w:t>t) 对元器件等外购器材的选用、采购、监制、验收、筛选、复验以及失效分析等活动不适用于本公司，本公司作为软件企业，应对计算机及其存储、数据处理等配件的选用、采购、验收等活动进行策划；</w:t>
      </w:r>
    </w:p>
    <w:p w14:paraId="083F8A03">
      <w:pPr>
        <w:spacing w:line="400" w:lineRule="exact"/>
        <w:ind w:firstLine="420" w:firstLineChars="200"/>
        <w:rPr>
          <w:rFonts w:ascii="宋体" w:hAnsi="宋体"/>
          <w:sz w:val="21"/>
          <w:szCs w:val="21"/>
        </w:rPr>
      </w:pPr>
      <w:r>
        <w:rPr>
          <w:rFonts w:hint="eastAsia" w:ascii="宋体" w:hAnsi="宋体"/>
          <w:sz w:val="21"/>
          <w:szCs w:val="21"/>
        </w:rPr>
        <w:t>u) 落实软件开发计划的措施，确定软件需求分析、设计、编码、测试等要求，以及测试工作独立性的要求；</w:t>
      </w:r>
    </w:p>
    <w:p w14:paraId="77EEB64C">
      <w:pPr>
        <w:spacing w:line="400" w:lineRule="exact"/>
        <w:ind w:firstLine="420" w:firstLineChars="200"/>
        <w:rPr>
          <w:rFonts w:ascii="宋体" w:hAnsi="宋体"/>
          <w:sz w:val="21"/>
          <w:szCs w:val="21"/>
        </w:rPr>
      </w:pPr>
      <w:r>
        <w:rPr>
          <w:rFonts w:hint="eastAsia" w:ascii="宋体" w:hAnsi="宋体"/>
          <w:sz w:val="21"/>
          <w:szCs w:val="21"/>
        </w:rPr>
        <w:t>v) 需要时，对产品和服务改进（如软件升级维护）做出安排；</w:t>
      </w:r>
    </w:p>
    <w:p w14:paraId="3E7A943D">
      <w:pPr>
        <w:spacing w:line="400" w:lineRule="exact"/>
        <w:ind w:firstLine="420" w:firstLineChars="200"/>
        <w:rPr>
          <w:rFonts w:ascii="宋体" w:hAnsi="宋体"/>
          <w:sz w:val="21"/>
          <w:szCs w:val="21"/>
        </w:rPr>
      </w:pPr>
      <w:r>
        <w:rPr>
          <w:rFonts w:hint="eastAsia" w:ascii="宋体" w:hAnsi="宋体"/>
          <w:sz w:val="21"/>
          <w:szCs w:val="21"/>
        </w:rPr>
        <w:t>w) 确定信息传递、数据转换、配置管理等过程控制要求，执行公司《软件三库管理规定》（QG/HY 05-01-2017）。</w:t>
      </w:r>
    </w:p>
    <w:p w14:paraId="73E1B33A">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设计和开发策划的输出应形成文件（如软件开发计划等），软件开发计划应与配置管理计划、质量保证计划协调一致，并及时更新。</w:t>
      </w:r>
    </w:p>
    <w:p w14:paraId="6CF103AC">
      <w:pPr>
        <w:spacing w:line="400" w:lineRule="exact"/>
        <w:ind w:firstLine="420" w:firstLineChars="200"/>
        <w:rPr>
          <w:rFonts w:ascii="宋体" w:hAnsi="宋体"/>
          <w:sz w:val="21"/>
          <w:szCs w:val="21"/>
        </w:rPr>
      </w:pPr>
      <w:r>
        <w:rPr>
          <w:rFonts w:hint="eastAsia"/>
          <w:sz w:val="21"/>
          <w:szCs w:val="21"/>
        </w:rPr>
        <w:t>硬件产品设计和开发过程中分为需求分析、图纸设计、硬件实现和单元测试、集成和测试等阶段。应根据项目特点、产品情况、复杂程度、技术成熟度、资源配置、人员经验等，对设计和开发过程中的每一次活动进行分析，考虑如下内容：</w:t>
      </w:r>
      <w:r>
        <w:rPr>
          <w:rFonts w:hint="eastAsia" w:ascii="宋体" w:hAnsi="宋体"/>
          <w:sz w:val="21"/>
          <w:szCs w:val="21"/>
        </w:rPr>
        <w:t xml:space="preserve"> </w:t>
      </w:r>
    </w:p>
    <w:p w14:paraId="45F28EB4">
      <w:pPr>
        <w:spacing w:line="400" w:lineRule="exact"/>
        <w:ind w:firstLine="420" w:firstLineChars="200"/>
        <w:rPr>
          <w:rFonts w:ascii="宋体" w:hAnsi="宋体"/>
          <w:sz w:val="21"/>
          <w:szCs w:val="21"/>
        </w:rPr>
      </w:pPr>
      <w:r>
        <w:rPr>
          <w:rFonts w:ascii="宋体" w:hAnsi="宋体"/>
          <w:sz w:val="21"/>
          <w:szCs w:val="21"/>
        </w:rPr>
        <w:t>a)设计和开发活动的性质、持续时间和复杂程度；</w:t>
      </w:r>
      <w:r>
        <w:rPr>
          <w:rFonts w:hint="eastAsia"/>
          <w:sz w:val="21"/>
          <w:szCs w:val="21"/>
        </w:rPr>
        <w:t>在《硬件开发计划》中详细描述硬件数量、硬件功能、开发进度等；</w:t>
      </w:r>
    </w:p>
    <w:p w14:paraId="22CC06E2">
      <w:pPr>
        <w:spacing w:line="400" w:lineRule="exact"/>
        <w:ind w:firstLine="420" w:firstLineChars="200"/>
        <w:rPr>
          <w:rFonts w:ascii="宋体" w:hAnsi="宋体"/>
          <w:sz w:val="21"/>
          <w:szCs w:val="21"/>
        </w:rPr>
      </w:pPr>
      <w:r>
        <w:rPr>
          <w:rFonts w:ascii="宋体" w:hAnsi="宋体"/>
          <w:sz w:val="21"/>
          <w:szCs w:val="21"/>
        </w:rPr>
        <w:t>b)明确</w:t>
      </w:r>
      <w:r>
        <w:rPr>
          <w:rFonts w:hint="eastAsia" w:ascii="宋体" w:hAnsi="宋体"/>
          <w:sz w:val="21"/>
          <w:szCs w:val="21"/>
        </w:rPr>
        <w:t>产品过程阶段、开发基线和</w:t>
      </w:r>
      <w:r>
        <w:rPr>
          <w:rFonts w:ascii="宋体" w:hAnsi="宋体"/>
          <w:sz w:val="21"/>
          <w:szCs w:val="21"/>
        </w:rPr>
        <w:t>各阶段所需要开展的评审、验证和确认活动</w:t>
      </w:r>
      <w:r>
        <w:rPr>
          <w:rFonts w:hint="eastAsia" w:ascii="宋体" w:hAnsi="宋体"/>
          <w:sz w:val="21"/>
          <w:szCs w:val="21"/>
        </w:rPr>
        <w:t>,包括适用的设计和开发评审</w:t>
      </w:r>
      <w:r>
        <w:rPr>
          <w:rFonts w:ascii="宋体" w:hAnsi="宋体"/>
          <w:sz w:val="21"/>
          <w:szCs w:val="21"/>
        </w:rPr>
        <w:t>；</w:t>
      </w:r>
    </w:p>
    <w:p w14:paraId="0BFDBCBE">
      <w:pPr>
        <w:spacing w:line="400" w:lineRule="exact"/>
        <w:ind w:firstLine="420" w:firstLineChars="200"/>
        <w:rPr>
          <w:rFonts w:ascii="宋体" w:hAnsi="宋体"/>
          <w:sz w:val="21"/>
          <w:szCs w:val="21"/>
        </w:rPr>
      </w:pPr>
      <w:r>
        <w:rPr>
          <w:rFonts w:ascii="宋体" w:hAnsi="宋体"/>
          <w:sz w:val="21"/>
          <w:szCs w:val="21"/>
        </w:rPr>
        <w:t>c) 设计和开发过程涉及的职责和权限；</w:t>
      </w:r>
      <w:r>
        <w:rPr>
          <w:rFonts w:hint="eastAsia" w:ascii="宋体" w:hAnsi="宋体"/>
          <w:sz w:val="21"/>
          <w:szCs w:val="21"/>
        </w:rPr>
        <w:t>针对产品的技术特点建立项目组，规定参与项目组的有关部门和人员的职责和权限，由设计、开发</w:t>
      </w:r>
      <w:r>
        <w:rPr>
          <w:rFonts w:ascii="宋体" w:hAnsi="宋体"/>
          <w:sz w:val="21"/>
          <w:szCs w:val="21"/>
        </w:rPr>
        <w:t>、</w:t>
      </w:r>
      <w:r>
        <w:rPr>
          <w:rFonts w:hint="eastAsia" w:ascii="宋体" w:hAnsi="宋体"/>
          <w:sz w:val="21"/>
          <w:szCs w:val="21"/>
        </w:rPr>
        <w:t>服务等专业人员共同参与设计活动；</w:t>
      </w:r>
    </w:p>
    <w:p w14:paraId="601CD757">
      <w:pPr>
        <w:spacing w:line="400" w:lineRule="exact"/>
        <w:ind w:firstLine="420" w:firstLineChars="200"/>
        <w:rPr>
          <w:rFonts w:ascii="宋体" w:hAnsi="宋体"/>
          <w:sz w:val="21"/>
          <w:szCs w:val="21"/>
        </w:rPr>
      </w:pPr>
      <w:r>
        <w:rPr>
          <w:rFonts w:ascii="宋体" w:hAnsi="宋体"/>
          <w:sz w:val="21"/>
          <w:szCs w:val="21"/>
        </w:rPr>
        <w:t>d) 产品和服务的设计和开发过程所需的内部、外部资源，并在《</w:t>
      </w:r>
      <w:r>
        <w:rPr>
          <w:rFonts w:hint="eastAsia" w:ascii="宋体" w:hAnsi="宋体"/>
          <w:sz w:val="21"/>
          <w:szCs w:val="21"/>
        </w:rPr>
        <w:t>硬件</w:t>
      </w:r>
      <w:r>
        <w:rPr>
          <w:rFonts w:ascii="宋体" w:hAnsi="宋体"/>
          <w:sz w:val="21"/>
          <w:szCs w:val="21"/>
        </w:rPr>
        <w:t>开发计划》中明确描述</w:t>
      </w:r>
      <w:r>
        <w:rPr>
          <w:rFonts w:hint="eastAsia" w:ascii="宋体" w:hAnsi="宋体"/>
          <w:sz w:val="21"/>
          <w:szCs w:val="21"/>
        </w:rPr>
        <w:t xml:space="preserve">； </w:t>
      </w:r>
    </w:p>
    <w:p w14:paraId="7CC570F0">
      <w:pPr>
        <w:spacing w:line="400" w:lineRule="exact"/>
        <w:ind w:firstLine="420" w:firstLineChars="200"/>
        <w:rPr>
          <w:rFonts w:ascii="宋体" w:hAnsi="宋体"/>
          <w:sz w:val="21"/>
          <w:szCs w:val="21"/>
        </w:rPr>
      </w:pPr>
      <w:r>
        <w:rPr>
          <w:rFonts w:hint="eastAsia" w:ascii="宋体" w:hAnsi="宋体"/>
          <w:sz w:val="21"/>
          <w:szCs w:val="21"/>
        </w:rPr>
        <w:t>e</w:t>
      </w:r>
      <w:r>
        <w:rPr>
          <w:rFonts w:ascii="宋体" w:hAnsi="宋体"/>
          <w:sz w:val="21"/>
          <w:szCs w:val="21"/>
        </w:rPr>
        <w:t>)</w:t>
      </w:r>
      <w:r>
        <w:rPr>
          <w:rFonts w:hint="eastAsia" w:ascii="宋体" w:hAnsi="宋体"/>
          <w:sz w:val="21"/>
          <w:szCs w:val="21"/>
        </w:rPr>
        <w:t xml:space="preserve"> </w:t>
      </w:r>
      <w:r>
        <w:rPr>
          <w:rFonts w:ascii="宋体" w:hAnsi="宋体"/>
          <w:sz w:val="21"/>
          <w:szCs w:val="21"/>
        </w:rPr>
        <w:t>顾客和使用者参与设计和开发过程的需求；</w:t>
      </w:r>
    </w:p>
    <w:p w14:paraId="1C358DC6">
      <w:pPr>
        <w:spacing w:line="400" w:lineRule="exact"/>
        <w:ind w:firstLine="420" w:firstLineChars="200"/>
        <w:rPr>
          <w:rFonts w:ascii="宋体" w:hAnsi="宋体"/>
          <w:sz w:val="21"/>
          <w:szCs w:val="21"/>
        </w:rPr>
      </w:pPr>
      <w:r>
        <w:rPr>
          <w:rFonts w:hint="eastAsia" w:ascii="宋体" w:hAnsi="宋体"/>
          <w:sz w:val="21"/>
          <w:szCs w:val="21"/>
        </w:rPr>
        <w:t>f</w:t>
      </w:r>
      <w:r>
        <w:rPr>
          <w:rFonts w:ascii="宋体" w:hAnsi="宋体"/>
          <w:sz w:val="21"/>
          <w:szCs w:val="21"/>
        </w:rPr>
        <w:t>)</w:t>
      </w:r>
      <w:r>
        <w:rPr>
          <w:rFonts w:hint="eastAsia" w:ascii="宋体" w:hAnsi="宋体"/>
          <w:sz w:val="21"/>
          <w:szCs w:val="21"/>
        </w:rPr>
        <w:t xml:space="preserve"> </w:t>
      </w:r>
      <w:r>
        <w:rPr>
          <w:rFonts w:ascii="宋体" w:hAnsi="宋体"/>
          <w:sz w:val="21"/>
          <w:szCs w:val="21"/>
        </w:rPr>
        <w:t>后续产品和服务提供的要求；</w:t>
      </w:r>
    </w:p>
    <w:p w14:paraId="227882ED">
      <w:pPr>
        <w:spacing w:line="400" w:lineRule="exact"/>
        <w:ind w:firstLine="420" w:firstLineChars="200"/>
        <w:rPr>
          <w:rFonts w:ascii="宋体" w:hAnsi="宋体"/>
          <w:sz w:val="21"/>
          <w:szCs w:val="21"/>
        </w:rPr>
      </w:pPr>
      <w:r>
        <w:rPr>
          <w:rFonts w:hint="eastAsia" w:ascii="宋体" w:hAnsi="宋体"/>
          <w:sz w:val="21"/>
          <w:szCs w:val="21"/>
        </w:rPr>
        <w:t>g</w:t>
      </w:r>
      <w:r>
        <w:rPr>
          <w:rFonts w:ascii="宋体" w:hAnsi="宋体"/>
          <w:sz w:val="21"/>
          <w:szCs w:val="21"/>
        </w:rPr>
        <w:t>)</w:t>
      </w:r>
      <w:r>
        <w:rPr>
          <w:rFonts w:hint="eastAsia" w:ascii="宋体" w:hAnsi="宋体"/>
          <w:sz w:val="21"/>
          <w:szCs w:val="21"/>
        </w:rPr>
        <w:t xml:space="preserve"> </w:t>
      </w:r>
      <w:r>
        <w:rPr>
          <w:rFonts w:ascii="宋体" w:hAnsi="宋体"/>
          <w:sz w:val="21"/>
          <w:szCs w:val="21"/>
        </w:rPr>
        <w:t>顾客和其他相关方期望的</w:t>
      </w:r>
      <w:r>
        <w:rPr>
          <w:rFonts w:hint="eastAsia" w:ascii="宋体" w:hAnsi="宋体"/>
          <w:sz w:val="21"/>
          <w:szCs w:val="21"/>
        </w:rPr>
        <w:t>对</w:t>
      </w:r>
      <w:r>
        <w:rPr>
          <w:rFonts w:ascii="宋体" w:hAnsi="宋体"/>
          <w:sz w:val="21"/>
          <w:szCs w:val="21"/>
        </w:rPr>
        <w:t>设计和开发过程的控制水平；</w:t>
      </w:r>
    </w:p>
    <w:p w14:paraId="072BBDAC">
      <w:pPr>
        <w:spacing w:line="400" w:lineRule="exact"/>
        <w:ind w:firstLine="420" w:firstLineChars="200"/>
        <w:rPr>
          <w:rFonts w:ascii="宋体" w:hAnsi="宋体"/>
          <w:sz w:val="21"/>
          <w:szCs w:val="21"/>
        </w:rPr>
      </w:pPr>
      <w:r>
        <w:rPr>
          <w:rFonts w:hint="eastAsia" w:ascii="宋体" w:hAnsi="宋体"/>
          <w:sz w:val="21"/>
          <w:szCs w:val="21"/>
        </w:rPr>
        <w:t>h</w:t>
      </w:r>
      <w:r>
        <w:rPr>
          <w:rFonts w:ascii="宋体" w:hAnsi="宋体"/>
          <w:sz w:val="21"/>
          <w:szCs w:val="21"/>
        </w:rPr>
        <w:t>)</w:t>
      </w:r>
      <w:r>
        <w:rPr>
          <w:rFonts w:hint="eastAsia" w:ascii="宋体" w:hAnsi="宋体"/>
          <w:sz w:val="21"/>
          <w:szCs w:val="21"/>
        </w:rPr>
        <w:t xml:space="preserve"> </w:t>
      </w:r>
      <w:r>
        <w:rPr>
          <w:rFonts w:ascii="宋体" w:hAnsi="宋体"/>
          <w:sz w:val="21"/>
          <w:szCs w:val="21"/>
        </w:rPr>
        <w:t>证实已经满足设计和开发要求所需的成文信息</w:t>
      </w:r>
      <w:r>
        <w:rPr>
          <w:rFonts w:hint="eastAsia" w:ascii="宋体" w:hAnsi="宋体"/>
          <w:sz w:val="21"/>
          <w:szCs w:val="21"/>
        </w:rPr>
        <w:t>；</w:t>
      </w:r>
    </w:p>
    <w:p w14:paraId="1B8F5824">
      <w:pPr>
        <w:spacing w:line="400" w:lineRule="exact"/>
        <w:ind w:firstLine="420" w:firstLineChars="200"/>
        <w:rPr>
          <w:rFonts w:ascii="宋体" w:hAnsi="宋体"/>
          <w:sz w:val="21"/>
          <w:szCs w:val="21"/>
        </w:rPr>
      </w:pPr>
      <w:r>
        <w:rPr>
          <w:rFonts w:hint="eastAsia" w:ascii="宋体" w:hAnsi="宋体"/>
          <w:sz w:val="21"/>
          <w:szCs w:val="21"/>
        </w:rPr>
        <w:t>i) 设计、生产和服务等人员共同参与设计和开发活动；</w:t>
      </w:r>
    </w:p>
    <w:p w14:paraId="217E6052">
      <w:pPr>
        <w:spacing w:line="400" w:lineRule="exact"/>
        <w:ind w:firstLine="420" w:firstLineChars="200"/>
        <w:rPr>
          <w:rFonts w:ascii="宋体" w:hAnsi="宋体"/>
          <w:sz w:val="21"/>
          <w:szCs w:val="21"/>
        </w:rPr>
      </w:pPr>
      <w:r>
        <w:rPr>
          <w:rFonts w:hint="eastAsia" w:ascii="宋体" w:hAnsi="宋体"/>
          <w:sz w:val="21"/>
          <w:szCs w:val="21"/>
        </w:rPr>
        <w:t>j) 识别制约产品设计和开发的关键因素和薄弱环节，进行风险分析和评估，形成风险清单，确定风险接受准则和风险控制措施；</w:t>
      </w:r>
    </w:p>
    <w:p w14:paraId="6927C20C">
      <w:pPr>
        <w:spacing w:line="400" w:lineRule="exact"/>
        <w:ind w:firstLine="420" w:firstLineChars="200"/>
        <w:rPr>
          <w:rFonts w:ascii="宋体" w:hAnsi="宋体"/>
          <w:sz w:val="21"/>
          <w:szCs w:val="21"/>
        </w:rPr>
      </w:pPr>
      <w:r>
        <w:rPr>
          <w:rFonts w:hint="eastAsia" w:ascii="宋体" w:hAnsi="宋体"/>
          <w:sz w:val="21"/>
          <w:szCs w:val="21"/>
        </w:rPr>
        <w:t>k) 确定产品标准，规范以及使用的工具与技术，标准件、元器件、原材料的选用不适用于本公司，制定和实施产品标准化综合要求，确定设计和开发中使用的标准和规范；</w:t>
      </w:r>
    </w:p>
    <w:p w14:paraId="66D00C9B">
      <w:pPr>
        <w:spacing w:line="400" w:lineRule="exact"/>
        <w:ind w:firstLine="420" w:firstLineChars="200"/>
        <w:rPr>
          <w:rFonts w:ascii="宋体" w:hAnsi="宋体"/>
          <w:sz w:val="21"/>
          <w:szCs w:val="21"/>
        </w:rPr>
      </w:pPr>
      <w:r>
        <w:rPr>
          <w:rFonts w:hint="eastAsia" w:ascii="宋体" w:hAnsi="宋体"/>
          <w:sz w:val="21"/>
          <w:szCs w:val="21"/>
        </w:rPr>
        <w:t>l) 落实配置状态管理计划的措施，编制配置项目录；</w:t>
      </w:r>
    </w:p>
    <w:p w14:paraId="764C5885">
      <w:pPr>
        <w:spacing w:line="400" w:lineRule="exact"/>
        <w:ind w:firstLine="420" w:firstLineChars="200"/>
        <w:rPr>
          <w:rFonts w:ascii="宋体" w:hAnsi="宋体"/>
          <w:sz w:val="21"/>
          <w:szCs w:val="21"/>
        </w:rPr>
      </w:pPr>
      <w:r>
        <w:rPr>
          <w:rFonts w:hint="eastAsia" w:ascii="宋体" w:hAnsi="宋体"/>
          <w:sz w:val="21"/>
          <w:szCs w:val="21"/>
        </w:rPr>
        <w:t>m) 在进行产品设计时应运用功能性、可靠性、易用性、效率、维护性的质量特性设计,综合考虑费效比，优选设计方案；</w:t>
      </w:r>
    </w:p>
    <w:p w14:paraId="25E471E2">
      <w:pPr>
        <w:spacing w:line="400" w:lineRule="exact"/>
        <w:ind w:firstLine="420" w:firstLineChars="200"/>
        <w:rPr>
          <w:rFonts w:ascii="宋体" w:hAnsi="宋体"/>
          <w:sz w:val="21"/>
          <w:szCs w:val="21"/>
        </w:rPr>
      </w:pPr>
      <w:r>
        <w:rPr>
          <w:rFonts w:hint="eastAsia" w:ascii="宋体" w:hAnsi="宋体"/>
          <w:sz w:val="21"/>
          <w:szCs w:val="21"/>
        </w:rPr>
        <w:t>n) 对硬件需求分析、设计、生产、测试、验收、交付和使用的全过程进行监视与测量，落实需求管理、策划与跟踪、文档编制、测试、质量保证、配置管理等工作，控制硬件开发过程，确保硬件开发质量；</w:t>
      </w:r>
    </w:p>
    <w:p w14:paraId="0D1462FA">
      <w:pPr>
        <w:spacing w:line="400" w:lineRule="exact"/>
        <w:ind w:firstLine="420" w:firstLineChars="200"/>
        <w:rPr>
          <w:rFonts w:ascii="宋体" w:hAnsi="宋体"/>
          <w:sz w:val="21"/>
          <w:szCs w:val="21"/>
        </w:rPr>
      </w:pPr>
      <w:r>
        <w:rPr>
          <w:rFonts w:hint="eastAsia" w:ascii="宋体" w:hAnsi="宋体"/>
          <w:sz w:val="21"/>
          <w:szCs w:val="21"/>
        </w:rPr>
        <w:t>o) 对采用的新技术、新方法进行论证、试验、鉴定和评价；</w:t>
      </w:r>
    </w:p>
    <w:p w14:paraId="0E3929C8">
      <w:pPr>
        <w:spacing w:line="400" w:lineRule="exact"/>
        <w:ind w:firstLine="420" w:firstLineChars="200"/>
        <w:rPr>
          <w:rFonts w:ascii="宋体" w:hAnsi="宋体"/>
          <w:sz w:val="21"/>
          <w:szCs w:val="21"/>
        </w:rPr>
      </w:pPr>
      <w:r>
        <w:rPr>
          <w:rFonts w:hint="eastAsia" w:ascii="宋体" w:hAnsi="宋体"/>
          <w:sz w:val="21"/>
          <w:szCs w:val="21"/>
        </w:rPr>
        <w:t>p) 按产品的特性和顾客的要求，确定并提出产品交付时需要配置的保障资源（用户手册等）；</w:t>
      </w:r>
    </w:p>
    <w:p w14:paraId="00D3CA44">
      <w:pPr>
        <w:spacing w:line="400" w:lineRule="exact"/>
        <w:ind w:firstLine="420" w:firstLineChars="200"/>
        <w:rPr>
          <w:rFonts w:ascii="宋体" w:hAnsi="宋体"/>
          <w:sz w:val="21"/>
          <w:szCs w:val="21"/>
        </w:rPr>
      </w:pPr>
      <w:r>
        <w:rPr>
          <w:rFonts w:hint="eastAsia" w:ascii="宋体" w:hAnsi="宋体"/>
          <w:sz w:val="21"/>
          <w:szCs w:val="21"/>
        </w:rPr>
        <w:t>q) 综合行政部应按供方评价方法，组织对参与设计和开发的供方进行质量监控(见8.4)；</w:t>
      </w:r>
    </w:p>
    <w:p w14:paraId="1133790B">
      <w:pPr>
        <w:spacing w:line="400" w:lineRule="exact"/>
        <w:ind w:firstLine="420" w:firstLineChars="200"/>
        <w:rPr>
          <w:rFonts w:ascii="宋体" w:hAnsi="宋体"/>
          <w:sz w:val="21"/>
          <w:szCs w:val="21"/>
        </w:rPr>
      </w:pPr>
      <w:r>
        <w:rPr>
          <w:rFonts w:hint="eastAsia" w:ascii="宋体" w:hAnsi="宋体"/>
          <w:sz w:val="21"/>
          <w:szCs w:val="21"/>
        </w:rPr>
        <w:t>r) 对元器件等外购器材的选用、采购、监制、验收、筛选、复验以及失效分析等活动进行策划；</w:t>
      </w:r>
    </w:p>
    <w:p w14:paraId="0D3A3EC4">
      <w:pPr>
        <w:spacing w:line="400" w:lineRule="exact"/>
        <w:ind w:firstLine="420" w:firstLineChars="200"/>
        <w:rPr>
          <w:rFonts w:ascii="宋体" w:hAnsi="宋体"/>
          <w:sz w:val="21"/>
          <w:szCs w:val="21"/>
        </w:rPr>
      </w:pPr>
      <w:r>
        <w:rPr>
          <w:rFonts w:hint="eastAsia" w:ascii="宋体" w:hAnsi="宋体"/>
          <w:sz w:val="21"/>
          <w:szCs w:val="21"/>
        </w:rPr>
        <w:t>s) 需要时，对产品和服务改进（如硬件升级维护）做出安排；</w:t>
      </w:r>
    </w:p>
    <w:p w14:paraId="7EC4B2C2">
      <w:pPr>
        <w:spacing w:line="400" w:lineRule="exact"/>
        <w:ind w:firstLine="420" w:firstLineChars="200"/>
        <w:rPr>
          <w:rFonts w:ascii="宋体" w:hAnsi="宋体"/>
          <w:sz w:val="21"/>
          <w:szCs w:val="21"/>
        </w:rPr>
      </w:pPr>
      <w:r>
        <w:rPr>
          <w:rFonts w:hint="eastAsia" w:ascii="宋体" w:hAnsi="宋体"/>
          <w:sz w:val="21"/>
          <w:szCs w:val="21"/>
        </w:rPr>
        <w:t>设计和开发策划的输出应形成文件（如硬件开发计划等），硬件开发计划应与配置管理计划、质量保证计划协调一致，并及时更新。</w:t>
      </w:r>
    </w:p>
    <w:p w14:paraId="2F5EC3DB">
      <w:pPr>
        <w:spacing w:line="400" w:lineRule="exact"/>
        <w:ind w:firstLine="420" w:firstLineChars="200"/>
        <w:rPr>
          <w:rFonts w:ascii="宋体" w:hAnsi="宋体"/>
          <w:sz w:val="21"/>
          <w:szCs w:val="21"/>
        </w:rPr>
      </w:pPr>
    </w:p>
    <w:p w14:paraId="4994F504">
      <w:pPr>
        <w:spacing w:line="400" w:lineRule="exact"/>
        <w:rPr>
          <w:rFonts w:ascii="宋体" w:hAnsi="宋体"/>
          <w:sz w:val="21"/>
          <w:szCs w:val="21"/>
        </w:rPr>
      </w:pPr>
      <w:r>
        <w:rPr>
          <w:rFonts w:ascii="宋体" w:hAnsi="宋体"/>
          <w:sz w:val="21"/>
          <w:szCs w:val="21"/>
        </w:rPr>
        <w:t>8.3.3设计和开发输入</w:t>
      </w:r>
    </w:p>
    <w:p w14:paraId="719F27D1">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应依据</w:t>
      </w:r>
      <w:r>
        <w:rPr>
          <w:rFonts w:hint="eastAsia" w:ascii="宋体" w:hAnsi="宋体"/>
          <w:sz w:val="21"/>
          <w:szCs w:val="21"/>
        </w:rPr>
        <w:t>研制任务书、需求规格说明、开发计划、配置管理计划、质量保证计划、运行方案说明、安装计划、移交计划、测试计划</w:t>
      </w:r>
      <w:r>
        <w:rPr>
          <w:rFonts w:ascii="宋体" w:hAnsi="宋体"/>
          <w:sz w:val="21"/>
          <w:szCs w:val="21"/>
        </w:rPr>
        <w:t>及有关的法律法规等作为设计和开发的依据，确定与产品有关的设计开发输入要求</w:t>
      </w:r>
      <w:r>
        <w:rPr>
          <w:rFonts w:hint="eastAsia" w:ascii="宋体" w:hAnsi="宋体"/>
          <w:sz w:val="21"/>
          <w:szCs w:val="21"/>
        </w:rPr>
        <w:t>并保持记录</w:t>
      </w:r>
      <w:r>
        <w:rPr>
          <w:rFonts w:ascii="宋体" w:hAnsi="宋体"/>
          <w:sz w:val="21"/>
          <w:szCs w:val="21"/>
        </w:rPr>
        <w:t>，包括</w:t>
      </w:r>
      <w:r>
        <w:rPr>
          <w:rFonts w:hint="eastAsia" w:ascii="宋体" w:hAnsi="宋体"/>
          <w:sz w:val="21"/>
          <w:szCs w:val="21"/>
        </w:rPr>
        <w:t xml:space="preserve">： </w:t>
      </w:r>
    </w:p>
    <w:p w14:paraId="1E640B43">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)功能和性能要求</w:t>
      </w:r>
      <w:r>
        <w:rPr>
          <w:rFonts w:hint="eastAsia" w:ascii="宋体" w:hAnsi="宋体"/>
          <w:sz w:val="21"/>
          <w:szCs w:val="21"/>
        </w:rPr>
        <w:t>，如合同、技术协议、研制任务书等</w:t>
      </w:r>
      <w:r>
        <w:rPr>
          <w:rFonts w:ascii="宋体" w:hAnsi="宋体"/>
          <w:sz w:val="21"/>
          <w:szCs w:val="21"/>
        </w:rPr>
        <w:t>；</w:t>
      </w:r>
    </w:p>
    <w:p w14:paraId="17B90EC7">
      <w:pPr>
        <w:spacing w:line="400" w:lineRule="exact"/>
        <w:ind w:firstLine="420" w:firstLineChars="200"/>
        <w:rPr>
          <w:rFonts w:ascii="宋体" w:hAnsi="宋体"/>
          <w:sz w:val="21"/>
          <w:szCs w:val="21"/>
        </w:rPr>
      </w:pPr>
      <w:r>
        <w:rPr>
          <w:rFonts w:ascii="宋体" w:hAnsi="宋体"/>
          <w:sz w:val="21"/>
          <w:szCs w:val="21"/>
        </w:rPr>
        <w:t>b)来源于以前类似设计和开发活动的信息；</w:t>
      </w:r>
    </w:p>
    <w:p w14:paraId="7CEFAB35">
      <w:pPr>
        <w:spacing w:line="400" w:lineRule="exact"/>
        <w:ind w:firstLine="420" w:firstLineChars="200"/>
        <w:rPr>
          <w:rFonts w:ascii="宋体" w:hAnsi="宋体"/>
          <w:sz w:val="21"/>
          <w:szCs w:val="21"/>
        </w:rPr>
      </w:pPr>
      <w:r>
        <w:rPr>
          <w:rFonts w:ascii="宋体" w:hAnsi="宋体"/>
          <w:sz w:val="21"/>
          <w:szCs w:val="21"/>
        </w:rPr>
        <w:t>c)法律法规要求；</w:t>
      </w:r>
    </w:p>
    <w:p w14:paraId="16AFF67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公司</w:t>
      </w:r>
      <w:r>
        <w:rPr>
          <w:rFonts w:ascii="宋体" w:hAnsi="宋体"/>
          <w:sz w:val="21"/>
          <w:szCs w:val="21"/>
        </w:rPr>
        <w:t>承诺实施的标准和行业规范；</w:t>
      </w:r>
    </w:p>
    <w:p w14:paraId="2CB18883">
      <w:pPr>
        <w:spacing w:line="400" w:lineRule="exact"/>
        <w:ind w:firstLine="420" w:firstLineChars="200"/>
        <w:rPr>
          <w:rFonts w:ascii="宋体" w:hAnsi="宋体"/>
          <w:sz w:val="21"/>
          <w:szCs w:val="21"/>
        </w:rPr>
      </w:pPr>
      <w:r>
        <w:rPr>
          <w:rFonts w:ascii="宋体" w:hAnsi="宋体"/>
          <w:sz w:val="21"/>
          <w:szCs w:val="21"/>
        </w:rPr>
        <w:t>e)</w:t>
      </w:r>
      <w:r>
        <w:rPr>
          <w:rFonts w:hint="eastAsia"/>
        </w:rPr>
        <w:t xml:space="preserve"> </w:t>
      </w:r>
      <w:r>
        <w:rPr>
          <w:rFonts w:hint="eastAsia" w:ascii="宋体" w:hAnsi="宋体"/>
          <w:sz w:val="21"/>
          <w:szCs w:val="21"/>
        </w:rPr>
        <w:t>同类产品和服务出现过或新产品和服务可能出现的质量或安全问题及潜在后果、产品风险的识别评估结果；</w:t>
      </w:r>
    </w:p>
    <w:p w14:paraId="13B7A13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f)外部接口和数据；</w:t>
      </w:r>
    </w:p>
    <w:p w14:paraId="11B8C43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g)工艺要求。</w:t>
      </w:r>
    </w:p>
    <w:p w14:paraId="57C43907">
      <w:pPr>
        <w:spacing w:line="400" w:lineRule="exact"/>
        <w:ind w:firstLine="420" w:firstLineChars="200"/>
        <w:rPr>
          <w:rFonts w:ascii="宋体" w:hAnsi="宋体"/>
          <w:sz w:val="21"/>
          <w:szCs w:val="21"/>
        </w:rPr>
      </w:pPr>
      <w:r>
        <w:rPr>
          <w:rFonts w:ascii="宋体" w:hAnsi="宋体"/>
          <w:sz w:val="21"/>
          <w:szCs w:val="21"/>
        </w:rPr>
        <w:t>设计和开发输入应完整、清楚，满足设计和开发的目的。</w:t>
      </w:r>
    </w:p>
    <w:p w14:paraId="13FD6F38">
      <w:pPr>
        <w:spacing w:line="400" w:lineRule="exact"/>
        <w:ind w:firstLine="420" w:firstLineChars="200"/>
        <w:rPr>
          <w:rFonts w:ascii="宋体" w:hAnsi="宋体"/>
          <w:sz w:val="21"/>
          <w:szCs w:val="21"/>
        </w:rPr>
      </w:pPr>
      <w:r>
        <w:rPr>
          <w:rFonts w:ascii="宋体" w:hAnsi="宋体"/>
          <w:sz w:val="21"/>
          <w:szCs w:val="21"/>
        </w:rPr>
        <w:t>应解决相互冲突的设计和开发输入。</w:t>
      </w:r>
    </w:p>
    <w:p w14:paraId="041B0245">
      <w:pPr>
        <w:spacing w:line="400" w:lineRule="exact"/>
        <w:ind w:firstLine="420" w:firstLineChars="200"/>
        <w:rPr>
          <w:rFonts w:ascii="宋体" w:hAnsi="宋体"/>
          <w:sz w:val="21"/>
          <w:szCs w:val="21"/>
        </w:rPr>
      </w:pPr>
      <w:r>
        <w:rPr>
          <w:rFonts w:ascii="宋体" w:hAnsi="宋体"/>
          <w:sz w:val="21"/>
          <w:szCs w:val="21"/>
        </w:rPr>
        <w:t>应保留有关设计和开发输入成文信息。</w:t>
      </w:r>
    </w:p>
    <w:p w14:paraId="53310814">
      <w:pPr>
        <w:widowControl/>
        <w:spacing w:line="400" w:lineRule="exact"/>
        <w:ind w:firstLine="420" w:firstLineChars="200"/>
        <w:rPr>
          <w:rFonts w:ascii="楷体" w:hAnsi="楷体" w:eastAsia="楷体"/>
          <w:bCs/>
          <w:sz w:val="21"/>
          <w:szCs w:val="21"/>
        </w:rPr>
      </w:pPr>
      <w:r>
        <w:rPr>
          <w:rFonts w:hint="eastAsia" w:ascii="楷体" w:hAnsi="楷体" w:eastAsia="楷体"/>
          <w:bCs/>
          <w:sz w:val="21"/>
          <w:szCs w:val="21"/>
        </w:rPr>
        <w:t>研发部应对设计和开发输入的充分性和适宜性进行评审，并保留评审结果的记录。</w:t>
      </w:r>
    </w:p>
    <w:p w14:paraId="77FB2267">
      <w:pPr>
        <w:spacing w:line="400" w:lineRule="exact"/>
        <w:rPr>
          <w:rFonts w:ascii="宋体" w:hAnsi="宋体"/>
          <w:sz w:val="21"/>
          <w:szCs w:val="21"/>
        </w:rPr>
      </w:pPr>
      <w:r>
        <w:rPr>
          <w:rFonts w:ascii="宋体" w:hAnsi="宋体"/>
          <w:sz w:val="21"/>
          <w:szCs w:val="21"/>
        </w:rPr>
        <w:t>8.3.4设计和开发控制</w:t>
      </w:r>
    </w:p>
    <w:p w14:paraId="3974D34E">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应对设计和开发过程进行控制，以确保：</w:t>
      </w:r>
    </w:p>
    <w:p w14:paraId="382A3103">
      <w:pPr>
        <w:spacing w:line="400" w:lineRule="exact"/>
        <w:ind w:firstLine="420" w:firstLineChars="200"/>
        <w:rPr>
          <w:rFonts w:ascii="宋体" w:hAnsi="宋体"/>
          <w:sz w:val="21"/>
          <w:szCs w:val="21"/>
        </w:rPr>
      </w:pPr>
      <w:r>
        <w:rPr>
          <w:rFonts w:ascii="宋体" w:hAnsi="宋体"/>
          <w:sz w:val="21"/>
          <w:szCs w:val="21"/>
        </w:rPr>
        <w:t xml:space="preserve">a) </w:t>
      </w:r>
      <w:r>
        <w:rPr>
          <w:rFonts w:hint="eastAsia" w:ascii="宋体" w:hAnsi="宋体"/>
          <w:sz w:val="21"/>
          <w:szCs w:val="21"/>
        </w:rPr>
        <w:t xml:space="preserve">明确设计和开发各阶段的输出结果和要求（设计任务书、技术状态基线、里程碑、试验大纲、服务规范），明确实施评审、验证和确认活动的方式及参加人员，识别存在的问题并提出必要的控制措施，确保设计和开发顺利实现； </w:t>
      </w:r>
    </w:p>
    <w:p w14:paraId="7B255AA5">
      <w:pPr>
        <w:spacing w:line="400" w:lineRule="exact"/>
        <w:ind w:firstLine="420" w:firstLineChars="200"/>
        <w:rPr>
          <w:rFonts w:ascii="宋体" w:hAnsi="宋体"/>
          <w:sz w:val="21"/>
          <w:szCs w:val="21"/>
        </w:rPr>
      </w:pPr>
      <w:r>
        <w:rPr>
          <w:rFonts w:ascii="宋体" w:hAnsi="宋体"/>
          <w:sz w:val="21"/>
          <w:szCs w:val="21"/>
        </w:rPr>
        <w:t>b)实施评审活动，</w:t>
      </w:r>
      <w:r>
        <w:rPr>
          <w:rFonts w:hint="eastAsia" w:ascii="宋体" w:hAnsi="宋体"/>
          <w:sz w:val="21"/>
          <w:szCs w:val="21"/>
        </w:rPr>
        <w:t xml:space="preserve">在设计和开发适当阶段实施评审活动，对开发计划、需求规格说明、设计说明、测试计划等进行评审，以评价设计和开发的结果满足要求的能力；评审的方式可采用会议评审、会签评审、逐级评审；参加评审的人员应包括有关职能部门的代表，软件研发设计人员及测试人员；必要时，邀请顾客代表、外部供方代表参与评审； </w:t>
      </w:r>
    </w:p>
    <w:p w14:paraId="0324550D">
      <w:pPr>
        <w:spacing w:line="400" w:lineRule="exact"/>
        <w:ind w:firstLine="420" w:firstLineChars="200"/>
        <w:rPr>
          <w:rFonts w:ascii="宋体" w:hAnsi="宋体"/>
          <w:sz w:val="21"/>
          <w:szCs w:val="21"/>
        </w:rPr>
      </w:pPr>
      <w:r>
        <w:rPr>
          <w:rFonts w:ascii="宋体" w:hAnsi="宋体"/>
          <w:sz w:val="21"/>
          <w:szCs w:val="21"/>
        </w:rPr>
        <w:t>c)实施验证活动，</w:t>
      </w:r>
      <w:r>
        <w:rPr>
          <w:rFonts w:hint="eastAsia" w:ascii="宋体" w:hAnsi="宋体"/>
          <w:sz w:val="21"/>
          <w:szCs w:val="21"/>
        </w:rPr>
        <w:t>验证可包括对设计开发输出的评审（如通过检查和走查）、分析、演示，包括原型、模拟或测试，</w:t>
      </w:r>
      <w:r>
        <w:rPr>
          <w:rFonts w:ascii="宋体" w:hAnsi="宋体"/>
          <w:sz w:val="21"/>
          <w:szCs w:val="21"/>
        </w:rPr>
        <w:t>以确保设计和开发输出满足输入的要求；</w:t>
      </w:r>
    </w:p>
    <w:p w14:paraId="38C29B64">
      <w:pPr>
        <w:spacing w:line="400" w:lineRule="exact"/>
        <w:ind w:firstLine="420" w:firstLineChars="200"/>
        <w:rPr>
          <w:rFonts w:ascii="宋体" w:hAnsi="宋体"/>
          <w:sz w:val="21"/>
          <w:szCs w:val="21"/>
        </w:rPr>
      </w:pPr>
      <w:r>
        <w:rPr>
          <w:rFonts w:ascii="宋体" w:hAnsi="宋体"/>
          <w:sz w:val="21"/>
          <w:szCs w:val="21"/>
        </w:rPr>
        <w:t>d)实施确认活动，</w:t>
      </w:r>
      <w:r>
        <w:rPr>
          <w:rFonts w:hint="eastAsia" w:ascii="宋体" w:hAnsi="宋体"/>
          <w:sz w:val="21"/>
          <w:szCs w:val="21"/>
        </w:rPr>
        <w:t>可通过软件测试来进行。根据交付的软件产品确定测试级别（单元测试、部件集成测试、配置项测试、系统测试，及各级别的回归测试），</w:t>
      </w:r>
      <w:r>
        <w:rPr>
          <w:rFonts w:ascii="宋体" w:hAnsi="宋体"/>
          <w:sz w:val="21"/>
          <w:szCs w:val="21"/>
        </w:rPr>
        <w:t>以确保</w:t>
      </w:r>
      <w:r>
        <w:rPr>
          <w:rFonts w:hint="eastAsia" w:ascii="宋体" w:hAnsi="宋体"/>
          <w:sz w:val="21"/>
          <w:szCs w:val="21"/>
        </w:rPr>
        <w:t>形成的</w:t>
      </w:r>
      <w:r>
        <w:rPr>
          <w:rFonts w:ascii="宋体" w:hAnsi="宋体"/>
          <w:sz w:val="21"/>
          <w:szCs w:val="21"/>
        </w:rPr>
        <w:t>产品和服务能够满足规定的使用要求或预期用途要求；</w:t>
      </w:r>
    </w:p>
    <w:p w14:paraId="55111375">
      <w:pPr>
        <w:spacing w:line="400" w:lineRule="exact"/>
        <w:ind w:firstLine="420" w:firstLineChars="200"/>
        <w:rPr>
          <w:rFonts w:ascii="宋体" w:hAnsi="宋体"/>
          <w:sz w:val="21"/>
          <w:szCs w:val="21"/>
        </w:rPr>
      </w:pPr>
      <w:r>
        <w:rPr>
          <w:rFonts w:ascii="宋体" w:hAnsi="宋体"/>
          <w:sz w:val="21"/>
          <w:szCs w:val="21"/>
        </w:rPr>
        <w:t>e)针对评审、验证和确认过程中确定的问题采取必要措施；</w:t>
      </w:r>
    </w:p>
    <w:p w14:paraId="0A2B1FC5">
      <w:pPr>
        <w:spacing w:line="400" w:lineRule="exact"/>
        <w:ind w:firstLine="420" w:firstLineChars="200"/>
        <w:rPr>
          <w:rFonts w:ascii="宋体" w:hAnsi="宋体"/>
          <w:sz w:val="21"/>
          <w:szCs w:val="21"/>
        </w:rPr>
      </w:pPr>
      <w:r>
        <w:rPr>
          <w:rFonts w:ascii="宋体" w:hAnsi="宋体"/>
          <w:sz w:val="21"/>
          <w:szCs w:val="21"/>
        </w:rPr>
        <w:t>f)保留这些活动成文信息</w:t>
      </w:r>
      <w:r>
        <w:rPr>
          <w:rFonts w:hint="eastAsia" w:ascii="宋体" w:hAnsi="宋体"/>
          <w:sz w:val="21"/>
          <w:szCs w:val="21"/>
        </w:rPr>
        <w:t>；</w:t>
      </w:r>
    </w:p>
    <w:p w14:paraId="736732E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g)控制技术状态的更改，转阶段前实施技术状态确认；</w:t>
      </w:r>
    </w:p>
    <w:p w14:paraId="244D46E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h)开展通用质量特性和计算机软件的评审、验证和确认活动；</w:t>
      </w:r>
    </w:p>
    <w:p w14:paraId="674AEDD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i)转阶段评审前达到规定要求，并提出转阶段风险评估报告。</w:t>
      </w:r>
    </w:p>
    <w:p w14:paraId="308CB7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设计和开发的评审、验证和确认具有不同目的。应根据产品和服务的具体情况，可以单独或以任意组合的方式进行。</w:t>
      </w:r>
    </w:p>
    <w:p w14:paraId="427FC94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公司应邀请顾客参加设计和开发确认，对评审、验证和确认提出的问题采取措施并进行跟踪。邀请顾客参加其关注的设计和开发评审，验证，并将结论及采取措施的结果向顾客通报。</w:t>
      </w:r>
    </w:p>
    <w:p w14:paraId="5A5B6103">
      <w:pPr>
        <w:spacing w:line="400" w:lineRule="exact"/>
        <w:ind w:firstLine="420" w:firstLineChars="200"/>
        <w:rPr>
          <w:rFonts w:ascii="宋体" w:hAnsi="宋体"/>
          <w:bCs/>
          <w:sz w:val="21"/>
          <w:szCs w:val="21"/>
        </w:rPr>
      </w:pPr>
      <w:r>
        <w:rPr>
          <w:rFonts w:hint="eastAsia" w:ascii="楷体" w:hAnsi="楷体" w:eastAsia="楷体"/>
          <w:bCs/>
          <w:sz w:val="21"/>
          <w:szCs w:val="21"/>
        </w:rPr>
        <w:t>需要定型(鉴定)的产品，公司应按有关规定及GJB1362要求完成定型(鉴定)准备工作。</w:t>
      </w:r>
    </w:p>
    <w:p w14:paraId="73766F0E">
      <w:pPr>
        <w:spacing w:line="400" w:lineRule="exact"/>
        <w:ind w:firstLine="560" w:firstLineChars="200"/>
        <w:rPr>
          <w:rFonts w:ascii="宋体" w:hAnsi="宋体"/>
          <w:szCs w:val="28"/>
        </w:rPr>
      </w:pPr>
    </w:p>
    <w:p w14:paraId="115A3EFA">
      <w:pPr>
        <w:spacing w:line="400" w:lineRule="exact"/>
        <w:rPr>
          <w:rFonts w:ascii="宋体" w:hAnsi="宋体"/>
          <w:sz w:val="21"/>
          <w:szCs w:val="21"/>
        </w:rPr>
      </w:pPr>
      <w:r>
        <w:rPr>
          <w:rFonts w:ascii="宋体" w:hAnsi="宋体"/>
          <w:sz w:val="21"/>
          <w:szCs w:val="21"/>
        </w:rPr>
        <w:t>8.3.5设计和开发输出</w:t>
      </w:r>
    </w:p>
    <w:p w14:paraId="3F9B4C1B">
      <w:pPr>
        <w:spacing w:line="400" w:lineRule="exact"/>
        <w:ind w:firstLine="420" w:firstLineChars="200"/>
        <w:rPr>
          <w:rFonts w:ascii="宋体" w:hAnsi="宋体"/>
          <w:sz w:val="21"/>
          <w:szCs w:val="21"/>
        </w:rPr>
      </w:pPr>
      <w:r>
        <w:rPr>
          <w:rFonts w:ascii="宋体" w:hAnsi="宋体"/>
          <w:sz w:val="21"/>
          <w:szCs w:val="21"/>
        </w:rPr>
        <w:t>公司应确保设计和开发输出：</w:t>
      </w:r>
    </w:p>
    <w:p w14:paraId="41DE33AF">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)满足输入的要求；</w:t>
      </w:r>
    </w:p>
    <w:p w14:paraId="5A3F6B8D">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为产品设计</w:t>
      </w:r>
      <w:r>
        <w:rPr>
          <w:rFonts w:ascii="宋体" w:hAnsi="宋体"/>
          <w:sz w:val="21"/>
          <w:szCs w:val="21"/>
        </w:rPr>
        <w:t>、实现、测试</w:t>
      </w:r>
      <w:r>
        <w:rPr>
          <w:rFonts w:hint="eastAsia" w:ascii="宋体" w:hAnsi="宋体"/>
          <w:sz w:val="21"/>
          <w:szCs w:val="21"/>
        </w:rPr>
        <w:t>提供的适当信息</w:t>
      </w:r>
      <w:r>
        <w:rPr>
          <w:rFonts w:ascii="宋体" w:hAnsi="宋体"/>
          <w:sz w:val="21"/>
          <w:szCs w:val="21"/>
        </w:rPr>
        <w:t>；</w:t>
      </w:r>
      <w:r>
        <w:rPr>
          <w:rFonts w:hint="eastAsia" w:ascii="宋体" w:hAnsi="宋体"/>
          <w:sz w:val="21"/>
          <w:szCs w:val="21"/>
        </w:rPr>
        <w:t>包括设计、开发和测试规范，数据模型，伪代码或源代码，开发文档（用户指南、操作文档、培训资料等），开发的产品；</w:t>
      </w:r>
    </w:p>
    <w:p w14:paraId="336DF19A">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)包括或引用监视和测量的要求，</w:t>
      </w:r>
      <w:r>
        <w:rPr>
          <w:rFonts w:hint="eastAsia" w:ascii="宋体" w:hAnsi="宋体"/>
          <w:sz w:val="21"/>
          <w:szCs w:val="21"/>
        </w:rPr>
        <w:t>适当时，</w:t>
      </w:r>
      <w:r>
        <w:rPr>
          <w:rFonts w:ascii="宋体" w:hAnsi="宋体"/>
          <w:sz w:val="21"/>
          <w:szCs w:val="21"/>
        </w:rPr>
        <w:t>包括接收准则</w:t>
      </w:r>
      <w:r>
        <w:rPr>
          <w:rFonts w:hint="eastAsia" w:ascii="宋体" w:hAnsi="宋体"/>
          <w:sz w:val="21"/>
          <w:szCs w:val="21"/>
        </w:rPr>
        <w:t>（软件产品规范）</w:t>
      </w:r>
      <w:r>
        <w:rPr>
          <w:rFonts w:ascii="宋体" w:hAnsi="宋体"/>
          <w:sz w:val="21"/>
          <w:szCs w:val="21"/>
        </w:rPr>
        <w:t>；</w:t>
      </w:r>
    </w:p>
    <w:p w14:paraId="0B843FF1">
      <w:pPr>
        <w:spacing w:line="400" w:lineRule="exact"/>
        <w:ind w:firstLine="420" w:firstLineChars="200"/>
        <w:rPr>
          <w:rFonts w:ascii="宋体" w:hAnsi="宋体"/>
          <w:sz w:val="21"/>
          <w:szCs w:val="21"/>
        </w:rPr>
      </w:pPr>
      <w:r>
        <w:rPr>
          <w:rFonts w:ascii="宋体" w:hAnsi="宋体"/>
          <w:sz w:val="21"/>
          <w:szCs w:val="21"/>
        </w:rPr>
        <w:t>d)规定对产品安全和正常</w:t>
      </w:r>
      <w:r>
        <w:rPr>
          <w:rFonts w:hint="eastAsia" w:ascii="宋体" w:hAnsi="宋体"/>
          <w:sz w:val="21"/>
          <w:szCs w:val="21"/>
        </w:rPr>
        <w:t>操作</w:t>
      </w:r>
      <w:r>
        <w:rPr>
          <w:rFonts w:ascii="宋体" w:hAnsi="宋体"/>
          <w:sz w:val="21"/>
          <w:szCs w:val="21"/>
        </w:rPr>
        <w:t>所必须的产品特性</w:t>
      </w:r>
      <w:r>
        <w:rPr>
          <w:rFonts w:hint="eastAsia" w:ascii="宋体" w:hAnsi="宋体"/>
          <w:sz w:val="21"/>
          <w:szCs w:val="21"/>
        </w:rPr>
        <w:t>，这些</w:t>
      </w:r>
      <w:r>
        <w:rPr>
          <w:rFonts w:ascii="宋体" w:hAnsi="宋体"/>
          <w:sz w:val="21"/>
          <w:szCs w:val="21"/>
        </w:rPr>
        <w:t>特性</w:t>
      </w:r>
      <w:r>
        <w:rPr>
          <w:rFonts w:hint="eastAsia" w:ascii="宋体" w:hAnsi="宋体"/>
          <w:sz w:val="21"/>
          <w:szCs w:val="21"/>
        </w:rPr>
        <w:t>对于</w:t>
      </w:r>
      <w:r>
        <w:rPr>
          <w:rFonts w:ascii="宋体" w:hAnsi="宋体"/>
          <w:sz w:val="21"/>
          <w:szCs w:val="21"/>
        </w:rPr>
        <w:t>预期目的、安全</w:t>
      </w:r>
      <w:r>
        <w:rPr>
          <w:rFonts w:hint="eastAsia" w:ascii="宋体" w:hAnsi="宋体"/>
          <w:sz w:val="21"/>
          <w:szCs w:val="21"/>
        </w:rPr>
        <w:t>和正常</w:t>
      </w:r>
      <w:r>
        <w:rPr>
          <w:rFonts w:ascii="宋体" w:hAnsi="宋体"/>
          <w:sz w:val="21"/>
          <w:szCs w:val="21"/>
        </w:rPr>
        <w:t>提供是必需的，</w:t>
      </w:r>
      <w:r>
        <w:rPr>
          <w:rFonts w:hint="eastAsia" w:ascii="宋体" w:hAnsi="宋体"/>
          <w:sz w:val="21"/>
          <w:szCs w:val="21"/>
        </w:rPr>
        <w:t>如</w:t>
      </w:r>
      <w:r>
        <w:rPr>
          <w:rFonts w:ascii="宋体" w:hAnsi="宋体"/>
          <w:sz w:val="21"/>
          <w:szCs w:val="21"/>
        </w:rPr>
        <w:t>操作</w:t>
      </w:r>
      <w:r>
        <w:rPr>
          <w:rFonts w:hint="eastAsia" w:ascii="宋体" w:hAnsi="宋体"/>
          <w:sz w:val="21"/>
          <w:szCs w:val="21"/>
        </w:rPr>
        <w:t>方法</w:t>
      </w:r>
      <w:r>
        <w:rPr>
          <w:rFonts w:ascii="宋体" w:hAnsi="宋体"/>
          <w:sz w:val="21"/>
          <w:szCs w:val="21"/>
        </w:rPr>
        <w:t>、</w:t>
      </w:r>
      <w:r>
        <w:rPr>
          <w:rFonts w:hint="eastAsia" w:ascii="宋体" w:hAnsi="宋体"/>
          <w:sz w:val="21"/>
          <w:szCs w:val="21"/>
        </w:rPr>
        <w:t>软件异常</w:t>
      </w:r>
      <w:r>
        <w:rPr>
          <w:rFonts w:ascii="宋体" w:hAnsi="宋体"/>
          <w:sz w:val="21"/>
          <w:szCs w:val="21"/>
        </w:rPr>
        <w:t>处置要求</w:t>
      </w:r>
      <w:r>
        <w:rPr>
          <w:rFonts w:hint="eastAsia" w:ascii="宋体" w:hAnsi="宋体"/>
          <w:sz w:val="21"/>
          <w:szCs w:val="21"/>
        </w:rPr>
        <w:t>及数据维护说明等；</w:t>
      </w:r>
    </w:p>
    <w:p w14:paraId="0507EE8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ascii="楷体" w:hAnsi="楷体" w:eastAsia="楷体"/>
          <w:bCs/>
          <w:sz w:val="21"/>
          <w:szCs w:val="21"/>
        </w:rPr>
        <w:t xml:space="preserve"> 编制</w:t>
      </w:r>
      <w:r>
        <w:rPr>
          <w:rFonts w:hint="eastAsia" w:ascii="楷体" w:hAnsi="楷体" w:eastAsia="楷体"/>
          <w:bCs/>
          <w:sz w:val="21"/>
          <w:szCs w:val="21"/>
        </w:rPr>
        <w:t>关键特性、重要软件配置项</w:t>
      </w:r>
      <w:r>
        <w:rPr>
          <w:rFonts w:ascii="楷体" w:hAnsi="楷体" w:eastAsia="楷体"/>
          <w:bCs/>
          <w:sz w:val="21"/>
          <w:szCs w:val="21"/>
        </w:rPr>
        <w:t>项目明细表，并在产品设计文件和程序文件上作相应标识</w:t>
      </w:r>
      <w:r>
        <w:rPr>
          <w:rFonts w:hint="eastAsia" w:ascii="楷体" w:hAnsi="楷体" w:eastAsia="楷体"/>
          <w:bCs/>
          <w:sz w:val="21"/>
          <w:szCs w:val="21"/>
        </w:rPr>
        <w:t>；</w:t>
      </w:r>
    </w:p>
    <w:p w14:paraId="63F7F0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f)规定产品使用所必需的保障方案和保障资源要求；提供支持软件保障和运行的文件，包括可交付的软件的安装以及检查、培训和持续保障的方案和资源要求；</w:t>
      </w:r>
    </w:p>
    <w:p w14:paraId="7374A7D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g)包括产品规范、工艺总方案、工艺规程，使用手册，诊断指南、产品和服务安全使用培训教程等；以及根据顾客要求按照GJB6600制作的交互式电子技术手册；</w:t>
      </w:r>
    </w:p>
    <w:p w14:paraId="6266185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h)包括通用质量特性设计报告；</w:t>
      </w:r>
    </w:p>
    <w:p w14:paraId="0F4F4463">
      <w:pPr>
        <w:spacing w:line="400" w:lineRule="exact"/>
        <w:ind w:firstLine="420" w:firstLineChars="200"/>
        <w:rPr>
          <w:rFonts w:ascii="宋体" w:hAnsi="宋体"/>
          <w:bCs/>
          <w:sz w:val="21"/>
          <w:szCs w:val="21"/>
        </w:rPr>
      </w:pPr>
      <w:r>
        <w:rPr>
          <w:rFonts w:hint="eastAsia" w:ascii="楷体" w:hAnsi="楷体" w:eastAsia="楷体"/>
          <w:bCs/>
          <w:sz w:val="21"/>
          <w:szCs w:val="21"/>
        </w:rPr>
        <w:t>i)包括风险分折报告(含风险控制措施)。</w:t>
      </w:r>
    </w:p>
    <w:p w14:paraId="6D048CC6">
      <w:pPr>
        <w:spacing w:line="400" w:lineRule="exact"/>
        <w:ind w:firstLine="420" w:firstLineChars="200"/>
        <w:rPr>
          <w:rFonts w:ascii="宋体" w:hAnsi="宋体"/>
          <w:sz w:val="21"/>
          <w:szCs w:val="21"/>
        </w:rPr>
      </w:pPr>
      <w:r>
        <w:rPr>
          <w:rFonts w:hint="eastAsia" w:ascii="宋体" w:hAnsi="宋体"/>
          <w:sz w:val="21"/>
          <w:szCs w:val="21"/>
        </w:rPr>
        <w:t>研发部应保留设计和开发输出的成文信息。</w:t>
      </w:r>
    </w:p>
    <w:p w14:paraId="56E343FB">
      <w:pPr>
        <w:spacing w:line="400" w:lineRule="exact"/>
        <w:rPr>
          <w:rFonts w:ascii="宋体" w:hAnsi="宋体"/>
          <w:sz w:val="21"/>
          <w:szCs w:val="21"/>
        </w:rPr>
      </w:pPr>
      <w:r>
        <w:rPr>
          <w:rFonts w:ascii="宋体" w:hAnsi="宋体"/>
          <w:sz w:val="21"/>
          <w:szCs w:val="21"/>
        </w:rPr>
        <w:t>8.3.6设计和开发更改</w:t>
      </w:r>
    </w:p>
    <w:p w14:paraId="1612175D">
      <w:pPr>
        <w:spacing w:line="400" w:lineRule="exact"/>
        <w:ind w:firstLine="420" w:firstLineChars="200"/>
        <w:rPr>
          <w:rFonts w:ascii="宋体" w:hAnsi="宋体"/>
          <w:sz w:val="21"/>
          <w:szCs w:val="21"/>
        </w:rPr>
      </w:pPr>
      <w:r>
        <w:rPr>
          <w:rFonts w:hint="eastAsia" w:ascii="宋体" w:hAnsi="宋体"/>
          <w:sz w:val="21"/>
          <w:szCs w:val="21"/>
        </w:rPr>
        <w:t>研发部</w:t>
      </w:r>
      <w:r>
        <w:rPr>
          <w:rFonts w:ascii="宋体" w:hAnsi="宋体"/>
          <w:sz w:val="21"/>
          <w:szCs w:val="21"/>
        </w:rPr>
        <w:t>应识</w:t>
      </w:r>
      <w:r>
        <w:rPr>
          <w:rFonts w:hint="eastAsia" w:ascii="宋体" w:hAnsi="宋体"/>
          <w:sz w:val="21"/>
          <w:szCs w:val="21"/>
        </w:rPr>
        <w:t>别</w:t>
      </w:r>
      <w:r>
        <w:rPr>
          <w:rFonts w:ascii="宋体" w:hAnsi="宋体"/>
          <w:sz w:val="21"/>
          <w:szCs w:val="21"/>
        </w:rPr>
        <w:t>、评审和控制产品和服务设计和开发期间以及后续所做的更改，以避免不利影响，确保符合要求。设计和开发更改包括对产品的</w:t>
      </w:r>
      <w:r>
        <w:rPr>
          <w:rFonts w:hint="eastAsia" w:ascii="宋体" w:hAnsi="宋体"/>
          <w:sz w:val="21"/>
          <w:szCs w:val="21"/>
        </w:rPr>
        <w:t>技术方案、</w:t>
      </w:r>
      <w:r>
        <w:rPr>
          <w:rFonts w:ascii="宋体" w:hAnsi="宋体"/>
          <w:sz w:val="21"/>
          <w:szCs w:val="21"/>
        </w:rPr>
        <w:t>性能参数、验收指标及方法等的更改</w:t>
      </w:r>
      <w:r>
        <w:rPr>
          <w:rFonts w:hint="eastAsia" w:ascii="宋体" w:hAnsi="宋体"/>
          <w:sz w:val="21"/>
          <w:szCs w:val="21"/>
        </w:rPr>
        <w:t>和计划变更</w:t>
      </w:r>
      <w:r>
        <w:rPr>
          <w:rFonts w:ascii="宋体" w:hAnsi="宋体"/>
          <w:sz w:val="21"/>
          <w:szCs w:val="21"/>
        </w:rPr>
        <w:t>。引起设计更改的原因可能有：</w:t>
      </w:r>
    </w:p>
    <w:p w14:paraId="3B581EB3">
      <w:pPr>
        <w:numPr>
          <w:ilvl w:val="0"/>
          <w:numId w:val="2"/>
        </w:numPr>
        <w:spacing w:line="400" w:lineRule="exact"/>
        <w:ind w:left="0" w:firstLine="426"/>
        <w:rPr>
          <w:rFonts w:ascii="宋体" w:hAnsi="宋体"/>
          <w:sz w:val="21"/>
          <w:szCs w:val="21"/>
        </w:rPr>
      </w:pPr>
      <w:r>
        <w:rPr>
          <w:rFonts w:ascii="宋体" w:hAnsi="宋体"/>
          <w:sz w:val="21"/>
          <w:szCs w:val="21"/>
        </w:rPr>
        <w:t>在后续阶段发现设计和开发阶段的错误或疏忽；</w:t>
      </w:r>
    </w:p>
    <w:p w14:paraId="1A9DB475">
      <w:pPr>
        <w:numPr>
          <w:ilvl w:val="0"/>
          <w:numId w:val="2"/>
        </w:numPr>
        <w:spacing w:line="400" w:lineRule="exact"/>
        <w:ind w:left="0" w:firstLine="426"/>
        <w:rPr>
          <w:rFonts w:ascii="宋体" w:hAnsi="宋体"/>
          <w:sz w:val="21"/>
          <w:szCs w:val="21"/>
        </w:rPr>
      </w:pPr>
      <w:r>
        <w:rPr>
          <w:rFonts w:ascii="宋体" w:hAnsi="宋体"/>
          <w:sz w:val="21"/>
          <w:szCs w:val="21"/>
        </w:rPr>
        <w:t>在</w:t>
      </w:r>
      <w:r>
        <w:rPr>
          <w:rFonts w:hint="eastAsia" w:ascii="宋体" w:hAnsi="宋体"/>
          <w:sz w:val="21"/>
          <w:szCs w:val="21"/>
        </w:rPr>
        <w:t>迭代过程中发现</w:t>
      </w:r>
      <w:r>
        <w:rPr>
          <w:rFonts w:ascii="宋体" w:hAnsi="宋体"/>
          <w:sz w:val="21"/>
          <w:szCs w:val="21"/>
        </w:rPr>
        <w:t>选定的技术方案不适用或技术风险过高，难以适应新的软件模块的设计和实现；</w:t>
      </w:r>
    </w:p>
    <w:p w14:paraId="52B49777">
      <w:pPr>
        <w:numPr>
          <w:ilvl w:val="0"/>
          <w:numId w:val="2"/>
        </w:numPr>
        <w:spacing w:line="400" w:lineRule="exact"/>
        <w:ind w:left="0" w:firstLine="426"/>
        <w:rPr>
          <w:rFonts w:ascii="宋体" w:hAnsi="宋体"/>
          <w:sz w:val="21"/>
          <w:szCs w:val="21"/>
        </w:rPr>
      </w:pPr>
      <w:r>
        <w:rPr>
          <w:rFonts w:ascii="宋体" w:hAnsi="宋体"/>
          <w:sz w:val="21"/>
          <w:szCs w:val="21"/>
        </w:rPr>
        <w:t>顾客或供方要求更改；</w:t>
      </w:r>
    </w:p>
    <w:p w14:paraId="39043B3F">
      <w:pPr>
        <w:numPr>
          <w:ilvl w:val="0"/>
          <w:numId w:val="2"/>
        </w:numPr>
        <w:spacing w:line="400" w:lineRule="exact"/>
        <w:ind w:left="0" w:firstLine="426"/>
        <w:rPr>
          <w:rFonts w:ascii="宋体" w:hAnsi="宋体"/>
          <w:sz w:val="21"/>
          <w:szCs w:val="21"/>
        </w:rPr>
      </w:pPr>
      <w:r>
        <w:rPr>
          <w:rFonts w:ascii="宋体" w:hAnsi="宋体"/>
          <w:sz w:val="21"/>
          <w:szCs w:val="21"/>
        </w:rPr>
        <w:t>需要改进产品的功能</w:t>
      </w:r>
      <w:r>
        <w:rPr>
          <w:rFonts w:hint="eastAsia" w:ascii="宋体" w:hAnsi="宋体"/>
          <w:sz w:val="21"/>
          <w:szCs w:val="21"/>
        </w:rPr>
        <w:t>、</w:t>
      </w:r>
      <w:r>
        <w:rPr>
          <w:rFonts w:ascii="宋体" w:hAnsi="宋体"/>
          <w:sz w:val="21"/>
          <w:szCs w:val="21"/>
        </w:rPr>
        <w:t>性能</w:t>
      </w:r>
      <w:r>
        <w:rPr>
          <w:rFonts w:hint="eastAsia" w:ascii="宋体" w:hAnsi="宋体"/>
          <w:sz w:val="21"/>
          <w:szCs w:val="21"/>
        </w:rPr>
        <w:t>、</w:t>
      </w:r>
      <w:r>
        <w:rPr>
          <w:rFonts w:ascii="宋体" w:hAnsi="宋体"/>
          <w:sz w:val="21"/>
          <w:szCs w:val="21"/>
        </w:rPr>
        <w:t>可靠性、易用性、效率、可维护性、可移植性；</w:t>
      </w:r>
    </w:p>
    <w:p w14:paraId="296F8A97">
      <w:pPr>
        <w:numPr>
          <w:ilvl w:val="0"/>
          <w:numId w:val="2"/>
        </w:numPr>
        <w:spacing w:line="400" w:lineRule="exact"/>
        <w:ind w:left="0" w:firstLine="426"/>
        <w:rPr>
          <w:rFonts w:ascii="宋体" w:hAnsi="宋体"/>
          <w:sz w:val="21"/>
          <w:szCs w:val="21"/>
        </w:rPr>
      </w:pPr>
      <w:r>
        <w:rPr>
          <w:rFonts w:ascii="宋体" w:hAnsi="宋体"/>
          <w:sz w:val="21"/>
          <w:szCs w:val="21"/>
        </w:rPr>
        <w:t>法规、行业规范或其他社会要求已更改；</w:t>
      </w:r>
    </w:p>
    <w:p w14:paraId="0E100821">
      <w:pPr>
        <w:numPr>
          <w:ilvl w:val="0"/>
          <w:numId w:val="2"/>
        </w:numPr>
        <w:spacing w:line="400" w:lineRule="exact"/>
        <w:ind w:left="0" w:firstLine="426"/>
        <w:rPr>
          <w:rFonts w:ascii="宋体" w:hAnsi="宋体"/>
          <w:sz w:val="21"/>
          <w:szCs w:val="21"/>
        </w:rPr>
      </w:pPr>
      <w:r>
        <w:rPr>
          <w:rFonts w:ascii="宋体" w:hAnsi="宋体"/>
          <w:sz w:val="21"/>
          <w:szCs w:val="21"/>
        </w:rPr>
        <w:t>设计和开发评审、验证和确认活动要求更改；</w:t>
      </w:r>
    </w:p>
    <w:p w14:paraId="2605A8D6">
      <w:pPr>
        <w:numPr>
          <w:ilvl w:val="0"/>
          <w:numId w:val="2"/>
        </w:numPr>
        <w:spacing w:line="400" w:lineRule="exact"/>
        <w:ind w:left="0" w:firstLine="426"/>
        <w:rPr>
          <w:rFonts w:ascii="宋体" w:hAnsi="宋体"/>
          <w:sz w:val="21"/>
          <w:szCs w:val="21"/>
        </w:rPr>
      </w:pPr>
      <w:r>
        <w:rPr>
          <w:rFonts w:ascii="宋体" w:hAnsi="宋体"/>
          <w:sz w:val="21"/>
          <w:szCs w:val="21"/>
        </w:rPr>
        <w:t>因采取纠正措施要求必须更改；</w:t>
      </w:r>
    </w:p>
    <w:p w14:paraId="106DAC41">
      <w:pPr>
        <w:numPr>
          <w:ilvl w:val="0"/>
          <w:numId w:val="2"/>
        </w:numPr>
        <w:spacing w:line="400" w:lineRule="exact"/>
        <w:ind w:left="0" w:firstLine="426"/>
        <w:rPr>
          <w:rFonts w:ascii="宋体" w:hAnsi="宋体"/>
        </w:rPr>
      </w:pPr>
      <w:r>
        <w:rPr>
          <w:rFonts w:ascii="宋体" w:hAnsi="宋体"/>
          <w:sz w:val="21"/>
          <w:szCs w:val="21"/>
        </w:rPr>
        <w:t>因其他原因导致的更改需要。</w:t>
      </w:r>
    </w:p>
    <w:p w14:paraId="29DD569A">
      <w:pPr>
        <w:spacing w:line="400" w:lineRule="exact"/>
        <w:ind w:firstLine="420" w:firstLineChars="200"/>
        <w:rPr>
          <w:rFonts w:ascii="宋体" w:hAnsi="宋体"/>
          <w:sz w:val="21"/>
          <w:szCs w:val="21"/>
        </w:rPr>
      </w:pPr>
      <w:r>
        <w:rPr>
          <w:rFonts w:ascii="宋体" w:hAnsi="宋体"/>
          <w:sz w:val="21"/>
          <w:szCs w:val="21"/>
        </w:rPr>
        <w:t>应保留下列成文信息：</w:t>
      </w:r>
    </w:p>
    <w:p w14:paraId="7AC712B8">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)设计和开发更</w:t>
      </w:r>
      <w:r>
        <w:rPr>
          <w:rFonts w:hint="eastAsia" w:ascii="宋体" w:hAnsi="宋体"/>
          <w:sz w:val="21"/>
          <w:szCs w:val="21"/>
        </w:rPr>
        <w:t>改；</w:t>
      </w:r>
    </w:p>
    <w:p w14:paraId="5321CCBB">
      <w:pPr>
        <w:spacing w:line="400" w:lineRule="exact"/>
        <w:ind w:firstLine="420" w:firstLineChars="200"/>
        <w:rPr>
          <w:rFonts w:ascii="宋体" w:hAnsi="宋体"/>
          <w:sz w:val="21"/>
          <w:szCs w:val="21"/>
        </w:rPr>
      </w:pPr>
      <w:r>
        <w:rPr>
          <w:rFonts w:ascii="宋体" w:hAnsi="宋体"/>
          <w:sz w:val="21"/>
          <w:szCs w:val="21"/>
        </w:rPr>
        <w:t>b)评审的结果；</w:t>
      </w:r>
    </w:p>
    <w:p w14:paraId="559213DA">
      <w:pPr>
        <w:spacing w:line="400" w:lineRule="exact"/>
        <w:ind w:firstLine="420" w:firstLineChars="200"/>
        <w:rPr>
          <w:rFonts w:ascii="宋体" w:hAnsi="宋体"/>
          <w:sz w:val="21"/>
          <w:szCs w:val="21"/>
        </w:rPr>
      </w:pPr>
      <w:r>
        <w:rPr>
          <w:rFonts w:ascii="宋体" w:hAnsi="宋体"/>
          <w:sz w:val="21"/>
          <w:szCs w:val="21"/>
        </w:rPr>
        <w:t>c)更</w:t>
      </w:r>
      <w:r>
        <w:rPr>
          <w:rFonts w:hint="eastAsia" w:ascii="宋体" w:hAnsi="宋体"/>
          <w:sz w:val="21"/>
          <w:szCs w:val="21"/>
        </w:rPr>
        <w:t>改</w:t>
      </w:r>
      <w:r>
        <w:rPr>
          <w:rFonts w:ascii="宋体" w:hAnsi="宋体"/>
          <w:sz w:val="21"/>
          <w:szCs w:val="21"/>
        </w:rPr>
        <w:t>的授权；</w:t>
      </w:r>
    </w:p>
    <w:p w14:paraId="6DA39015">
      <w:pPr>
        <w:spacing w:line="400" w:lineRule="exact"/>
        <w:ind w:firstLine="420" w:firstLineChars="200"/>
        <w:rPr>
          <w:rFonts w:ascii="宋体" w:hAnsi="宋体"/>
          <w:sz w:val="21"/>
          <w:szCs w:val="21"/>
        </w:rPr>
      </w:pPr>
      <w:r>
        <w:rPr>
          <w:rFonts w:ascii="宋体" w:hAnsi="宋体"/>
          <w:sz w:val="21"/>
          <w:szCs w:val="21"/>
        </w:rPr>
        <w:t>d)为防止不利影响而采取的措施。</w:t>
      </w:r>
    </w:p>
    <w:p w14:paraId="6537DEF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设计更改应符合技术状态管理要求，计算机软件的更改应根据配置管理要求，对设计和开发的更改过程实施配置管理，并对更改所涉及的技术文件做出标识。已定型产品的更改应按定型工作有关规定办理。研发部应跟踪设计更改的实施，对重要的设计更改应进行系统分析和验证，并按规定履行审批程序。</w:t>
      </w:r>
    </w:p>
    <w:p w14:paraId="0A47EE83">
      <w:pPr>
        <w:spacing w:line="400" w:lineRule="exact"/>
        <w:ind w:firstLine="422" w:firstLineChars="200"/>
        <w:rPr>
          <w:rFonts w:ascii="楷体" w:hAnsi="楷体" w:eastAsia="楷体"/>
          <w:b/>
          <w:sz w:val="21"/>
          <w:szCs w:val="21"/>
        </w:rPr>
      </w:pPr>
    </w:p>
    <w:p w14:paraId="4501406D">
      <w:pPr>
        <w:spacing w:line="400" w:lineRule="exact"/>
        <w:rPr>
          <w:rFonts w:ascii="宋体" w:hAnsi="宋体"/>
          <w:sz w:val="21"/>
          <w:szCs w:val="21"/>
        </w:rPr>
      </w:pPr>
      <w:r>
        <w:rPr>
          <w:rFonts w:hint="eastAsia" w:ascii="宋体" w:hAnsi="宋体"/>
          <w:sz w:val="21"/>
          <w:szCs w:val="21"/>
        </w:rPr>
        <w:t>8.3.7新产品试制</w:t>
      </w:r>
    </w:p>
    <w:p w14:paraId="516A64C7">
      <w:pPr>
        <w:spacing w:line="400" w:lineRule="exact"/>
        <w:ind w:firstLine="420" w:firstLineChars="200"/>
        <w:rPr>
          <w:rFonts w:ascii="楷体" w:hAnsi="楷体" w:eastAsia="楷体"/>
          <w:bCs/>
          <w:sz w:val="21"/>
          <w:szCs w:val="21"/>
        </w:rPr>
      </w:pPr>
      <w:r>
        <w:rPr>
          <w:rFonts w:hint="eastAsia" w:ascii="楷体" w:hAnsi="楷体" w:eastAsia="楷体"/>
          <w:bCs/>
          <w:sz w:val="21"/>
          <w:szCs w:val="21"/>
        </w:rPr>
        <w:t>本</w:t>
      </w:r>
      <w:r>
        <w:rPr>
          <w:rFonts w:ascii="楷体" w:hAnsi="楷体" w:eastAsia="楷体"/>
          <w:bCs/>
          <w:sz w:val="21"/>
          <w:szCs w:val="21"/>
        </w:rPr>
        <w:t>条款要求</w:t>
      </w:r>
      <w:r>
        <w:rPr>
          <w:rFonts w:hint="eastAsia" w:ascii="楷体" w:hAnsi="楷体" w:eastAsia="楷体"/>
          <w:bCs/>
          <w:sz w:val="21"/>
          <w:szCs w:val="21"/>
        </w:rPr>
        <w:t>不适用于公司定制单套</w:t>
      </w:r>
      <w:r>
        <w:rPr>
          <w:rFonts w:ascii="楷体" w:hAnsi="楷体" w:eastAsia="楷体"/>
          <w:bCs/>
          <w:sz w:val="21"/>
          <w:szCs w:val="21"/>
        </w:rPr>
        <w:t>计算机软件开发</w:t>
      </w:r>
      <w:r>
        <w:rPr>
          <w:rFonts w:hint="eastAsia" w:ascii="楷体" w:hAnsi="楷体" w:eastAsia="楷体"/>
          <w:bCs/>
          <w:sz w:val="21"/>
          <w:szCs w:val="21"/>
        </w:rPr>
        <w:t>，对批配套软件可参照如下要求执行</w:t>
      </w:r>
      <w:r>
        <w:rPr>
          <w:rFonts w:ascii="楷体" w:hAnsi="楷体" w:eastAsia="楷体"/>
          <w:bCs/>
          <w:sz w:val="21"/>
          <w:szCs w:val="21"/>
        </w:rPr>
        <w:t>。</w:t>
      </w:r>
    </w:p>
    <w:p w14:paraId="44E243C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试制</w:t>
      </w:r>
      <w:r>
        <w:rPr>
          <w:rFonts w:ascii="楷体" w:hAnsi="楷体" w:eastAsia="楷体"/>
          <w:bCs/>
          <w:sz w:val="21"/>
          <w:szCs w:val="21"/>
        </w:rPr>
        <w:t>过程按照下述方法进行</w:t>
      </w:r>
      <w:r>
        <w:rPr>
          <w:rFonts w:hint="eastAsia" w:ascii="楷体" w:hAnsi="楷体" w:eastAsia="楷体"/>
          <w:bCs/>
          <w:sz w:val="21"/>
          <w:szCs w:val="21"/>
        </w:rPr>
        <w:t>控制：</w:t>
      </w:r>
    </w:p>
    <w:p w14:paraId="0B302CD5">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新产品试制由研发部负责主管，生产运维部、质量管理部等配合，控制内容包括： </w:t>
      </w:r>
    </w:p>
    <w:p w14:paraId="6A4D42F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a)生产运维部牵头组织在产品试制前进行准备状态检查，满足GJB1710的要求；</w:t>
      </w:r>
    </w:p>
    <w:p w14:paraId="1C2F18E2">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b)研发部牵头组织进行软件刻录（光盘及其他介质）生产流程工艺评审，满足GJB1269的要求；</w:t>
      </w:r>
    </w:p>
    <w:p w14:paraId="5027F2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c)研发部编制首件鉴定目录，进行首件鉴定，满足GJB 908的要求； </w:t>
      </w:r>
    </w:p>
    <w:p w14:paraId="0014F65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d)质量管理部牵头组织在产品试制完成后进行产品质量评审，满足GJB 907的要求。</w:t>
      </w:r>
    </w:p>
    <w:p w14:paraId="36C2DAD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保留试制过程和采取任何措施的记录(见7.5.3)。</w:t>
      </w:r>
    </w:p>
    <w:p w14:paraId="5714BBDD">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公司应邀请顾客参加其关注的产品生产准备状态检查、首件鉴定和产品质量评审。</w:t>
      </w:r>
    </w:p>
    <w:p w14:paraId="20231FC5">
      <w:pPr>
        <w:spacing w:line="400" w:lineRule="exact"/>
        <w:ind w:firstLine="420" w:firstLineChars="200"/>
        <w:rPr>
          <w:rFonts w:ascii="宋体" w:hAnsi="宋体"/>
          <w:bCs/>
          <w:sz w:val="21"/>
          <w:szCs w:val="21"/>
        </w:rPr>
      </w:pPr>
      <w:r>
        <w:rPr>
          <w:rFonts w:hint="eastAsia" w:ascii="楷体" w:hAnsi="楷体" w:eastAsia="楷体"/>
          <w:bCs/>
          <w:sz w:val="21"/>
          <w:szCs w:val="21"/>
        </w:rPr>
        <w:t>新产品试制包括工程样机制造、定型前的小批量生产。</w:t>
      </w:r>
    </w:p>
    <w:p w14:paraId="6B5AEC3C">
      <w:pPr>
        <w:spacing w:line="400" w:lineRule="exact"/>
        <w:rPr>
          <w:rFonts w:ascii="宋体" w:hAnsi="宋体"/>
          <w:sz w:val="21"/>
          <w:szCs w:val="21"/>
        </w:rPr>
      </w:pPr>
      <w:r>
        <w:rPr>
          <w:rFonts w:hint="eastAsia" w:ascii="宋体" w:hAnsi="宋体"/>
          <w:sz w:val="21"/>
          <w:szCs w:val="21"/>
        </w:rPr>
        <w:t>8.3.8设计和开发的试验控制</w:t>
      </w:r>
    </w:p>
    <w:p w14:paraId="6664E259">
      <w:pPr>
        <w:spacing w:line="360" w:lineRule="auto"/>
        <w:ind w:firstLine="411" w:firstLineChars="196"/>
        <w:rPr>
          <w:rFonts w:ascii="楷体" w:hAnsi="楷体" w:eastAsia="楷体"/>
          <w:bCs/>
          <w:sz w:val="21"/>
          <w:szCs w:val="21"/>
        </w:rPr>
      </w:pPr>
      <w:r>
        <w:rPr>
          <w:rFonts w:hint="eastAsia" w:ascii="楷体" w:hAnsi="楷体" w:eastAsia="楷体"/>
          <w:bCs/>
          <w:sz w:val="21"/>
          <w:szCs w:val="21"/>
        </w:rPr>
        <w:t>公司参照</w:t>
      </w:r>
      <w:r>
        <w:rPr>
          <w:rFonts w:ascii="楷体" w:hAnsi="楷体" w:eastAsia="楷体"/>
          <w:bCs/>
          <w:sz w:val="21"/>
          <w:szCs w:val="21"/>
        </w:rPr>
        <w:t>GJB 4072A</w:t>
      </w:r>
      <w:r>
        <w:rPr>
          <w:rFonts w:hint="eastAsia" w:ascii="楷体" w:hAnsi="楷体" w:eastAsia="楷体"/>
          <w:bCs/>
          <w:sz w:val="21"/>
          <w:szCs w:val="21"/>
        </w:rPr>
        <w:t>和</w:t>
      </w:r>
      <w:r>
        <w:rPr>
          <w:rFonts w:ascii="楷体" w:hAnsi="楷体" w:eastAsia="楷体"/>
          <w:bCs/>
          <w:sz w:val="21"/>
          <w:szCs w:val="21"/>
        </w:rPr>
        <w:t>有关要求</w:t>
      </w:r>
      <w:r>
        <w:rPr>
          <w:rFonts w:hint="eastAsia" w:ascii="楷体" w:hAnsi="楷体" w:eastAsia="楷体"/>
          <w:bCs/>
          <w:sz w:val="21"/>
          <w:szCs w:val="21"/>
        </w:rPr>
        <w:t>对军队装备</w:t>
      </w:r>
      <w:r>
        <w:rPr>
          <w:rFonts w:ascii="楷体" w:hAnsi="楷体" w:eastAsia="楷体"/>
          <w:bCs/>
          <w:sz w:val="21"/>
          <w:szCs w:val="21"/>
        </w:rPr>
        <w:t>设计和开发过程</w:t>
      </w:r>
      <w:r>
        <w:rPr>
          <w:rFonts w:hint="eastAsia" w:ascii="楷体" w:hAnsi="楷体" w:eastAsia="楷体"/>
          <w:bCs/>
          <w:sz w:val="21"/>
          <w:szCs w:val="21"/>
        </w:rPr>
        <w:t>的试验实施控制，通过对</w:t>
      </w:r>
      <w:r>
        <w:rPr>
          <w:rFonts w:ascii="楷体" w:hAnsi="楷体" w:eastAsia="楷体"/>
          <w:bCs/>
          <w:sz w:val="21"/>
          <w:szCs w:val="21"/>
        </w:rPr>
        <w:t>试验过程的策划和控制，确保</w:t>
      </w:r>
      <w:r>
        <w:rPr>
          <w:rFonts w:hint="eastAsia" w:ascii="楷体" w:hAnsi="楷体" w:eastAsia="楷体"/>
          <w:bCs/>
          <w:sz w:val="21"/>
          <w:szCs w:val="21"/>
        </w:rPr>
        <w:t>试验</w:t>
      </w:r>
      <w:r>
        <w:rPr>
          <w:rFonts w:ascii="楷体" w:hAnsi="楷体" w:eastAsia="楷体"/>
          <w:bCs/>
          <w:sz w:val="21"/>
          <w:szCs w:val="21"/>
        </w:rPr>
        <w:t>过程受控和试验数据的完整、准确，</w:t>
      </w:r>
      <w:r>
        <w:rPr>
          <w:rFonts w:hint="eastAsia" w:ascii="楷体" w:hAnsi="楷体" w:eastAsia="楷体"/>
          <w:bCs/>
          <w:sz w:val="21"/>
          <w:szCs w:val="21"/>
        </w:rPr>
        <w:t>试验结果</w:t>
      </w:r>
      <w:r>
        <w:rPr>
          <w:rFonts w:ascii="楷体" w:hAnsi="楷体" w:eastAsia="楷体"/>
          <w:bCs/>
          <w:sz w:val="21"/>
          <w:szCs w:val="21"/>
        </w:rPr>
        <w:t>可信和有效。</w:t>
      </w:r>
      <w:r>
        <w:rPr>
          <w:rFonts w:hint="eastAsia" w:ascii="楷体" w:hAnsi="楷体" w:eastAsia="楷体"/>
          <w:bCs/>
          <w:sz w:val="21"/>
          <w:szCs w:val="21"/>
        </w:rPr>
        <w:t>对</w:t>
      </w:r>
      <w:r>
        <w:rPr>
          <w:rFonts w:ascii="楷体" w:hAnsi="楷体" w:eastAsia="楷体"/>
          <w:bCs/>
          <w:sz w:val="21"/>
          <w:szCs w:val="21"/>
        </w:rPr>
        <w:t>公司而言，试验过程</w:t>
      </w:r>
      <w:r>
        <w:rPr>
          <w:rFonts w:hint="eastAsia" w:ascii="楷体" w:hAnsi="楷体" w:eastAsia="楷体"/>
          <w:bCs/>
          <w:sz w:val="21"/>
          <w:szCs w:val="21"/>
        </w:rPr>
        <w:t>即</w:t>
      </w:r>
      <w:r>
        <w:rPr>
          <w:rFonts w:ascii="楷体" w:hAnsi="楷体" w:eastAsia="楷体"/>
          <w:bCs/>
          <w:sz w:val="21"/>
          <w:szCs w:val="21"/>
        </w:rPr>
        <w:t>测试过程。</w:t>
      </w:r>
    </w:p>
    <w:p w14:paraId="2C8E499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结果的有效性，公司对</w:t>
      </w:r>
      <w:r>
        <w:rPr>
          <w:rFonts w:hint="eastAsia" w:ascii="楷体" w:hAnsi="楷体" w:eastAsia="楷体"/>
          <w:bCs/>
          <w:sz w:val="21"/>
          <w:szCs w:val="21"/>
        </w:rPr>
        <w:t>测试</w:t>
      </w:r>
      <w:r>
        <w:rPr>
          <w:rFonts w:ascii="楷体" w:hAnsi="楷体" w:eastAsia="楷体"/>
          <w:bCs/>
          <w:sz w:val="21"/>
          <w:szCs w:val="21"/>
        </w:rPr>
        <w:t>过程实施如下控制：</w:t>
      </w:r>
      <w:r>
        <w:rPr>
          <w:rFonts w:hint="eastAsia" w:ascii="楷体" w:hAnsi="楷体" w:eastAsia="楷体"/>
          <w:bCs/>
          <w:sz w:val="21"/>
          <w:szCs w:val="21"/>
        </w:rPr>
        <w:t xml:space="preserve"> </w:t>
      </w:r>
    </w:p>
    <w:p w14:paraId="1D1F229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a)</w:t>
      </w:r>
      <w:r>
        <w:rPr>
          <w:rFonts w:hint="eastAsia" w:ascii="仿宋" w:hAnsi="仿宋" w:eastAsia="仿宋"/>
          <w:bCs/>
        </w:rPr>
        <w:t xml:space="preserve"> </w:t>
      </w:r>
      <w:r>
        <w:rPr>
          <w:rFonts w:hint="eastAsia" w:ascii="楷体" w:hAnsi="楷体" w:eastAsia="楷体"/>
          <w:bCs/>
          <w:sz w:val="21"/>
          <w:szCs w:val="21"/>
        </w:rPr>
        <w:t>按照</w:t>
      </w:r>
      <w:r>
        <w:rPr>
          <w:rFonts w:ascii="楷体" w:hAnsi="楷体" w:eastAsia="楷体"/>
          <w:bCs/>
          <w:sz w:val="21"/>
          <w:szCs w:val="21"/>
        </w:rPr>
        <w:t>测试目的</w:t>
      </w:r>
      <w:r>
        <w:rPr>
          <w:rFonts w:hint="eastAsia" w:ascii="楷体" w:hAnsi="楷体" w:eastAsia="楷体"/>
          <w:bCs/>
          <w:sz w:val="21"/>
          <w:szCs w:val="21"/>
        </w:rPr>
        <w:t>，</w:t>
      </w:r>
      <w:r>
        <w:rPr>
          <w:rFonts w:ascii="楷体" w:hAnsi="楷体" w:eastAsia="楷体"/>
          <w:bCs/>
          <w:sz w:val="21"/>
          <w:szCs w:val="21"/>
        </w:rPr>
        <w:t>依据《软件开发计划》</w:t>
      </w:r>
      <w:r>
        <w:rPr>
          <w:rFonts w:hint="eastAsia" w:ascii="楷体" w:hAnsi="楷体" w:eastAsia="楷体"/>
          <w:bCs/>
          <w:sz w:val="21"/>
          <w:szCs w:val="21"/>
        </w:rPr>
        <w:t>编制并</w:t>
      </w:r>
      <w:r>
        <w:rPr>
          <w:rFonts w:ascii="楷体" w:hAnsi="楷体" w:eastAsia="楷体"/>
          <w:bCs/>
          <w:sz w:val="21"/>
          <w:szCs w:val="21"/>
        </w:rPr>
        <w:t>评审</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），包括测试</w:t>
      </w:r>
      <w:r>
        <w:rPr>
          <w:rFonts w:ascii="楷体" w:hAnsi="楷体" w:eastAsia="楷体"/>
          <w:bCs/>
          <w:sz w:val="21"/>
          <w:szCs w:val="21"/>
        </w:rPr>
        <w:t>目的</w:t>
      </w:r>
      <w:r>
        <w:rPr>
          <w:rFonts w:hint="eastAsia" w:ascii="楷体" w:hAnsi="楷体" w:eastAsia="楷体"/>
          <w:bCs/>
          <w:sz w:val="21"/>
          <w:szCs w:val="21"/>
        </w:rPr>
        <w:t>、</w:t>
      </w:r>
      <w:r>
        <w:rPr>
          <w:rFonts w:ascii="楷体" w:hAnsi="楷体" w:eastAsia="楷体"/>
          <w:bCs/>
          <w:sz w:val="21"/>
          <w:szCs w:val="21"/>
        </w:rPr>
        <w:t>内容、条件、方法、程序</w:t>
      </w:r>
      <w:r>
        <w:rPr>
          <w:rFonts w:hint="eastAsia" w:ascii="楷体" w:hAnsi="楷体" w:eastAsia="楷体"/>
          <w:bCs/>
          <w:sz w:val="21"/>
          <w:szCs w:val="21"/>
        </w:rPr>
        <w:t>、</w:t>
      </w:r>
      <w:r>
        <w:rPr>
          <w:rFonts w:ascii="楷体" w:hAnsi="楷体" w:eastAsia="楷体"/>
          <w:bCs/>
          <w:sz w:val="21"/>
          <w:szCs w:val="21"/>
        </w:rPr>
        <w:t>职责、受试产品</w:t>
      </w:r>
      <w:r>
        <w:rPr>
          <w:rFonts w:hint="eastAsia" w:ascii="楷体" w:hAnsi="楷体" w:eastAsia="楷体"/>
          <w:bCs/>
          <w:sz w:val="21"/>
          <w:szCs w:val="21"/>
        </w:rPr>
        <w:t>技术</w:t>
      </w:r>
      <w:r>
        <w:rPr>
          <w:rFonts w:ascii="楷体" w:hAnsi="楷体" w:eastAsia="楷体"/>
          <w:bCs/>
          <w:sz w:val="21"/>
          <w:szCs w:val="21"/>
        </w:rPr>
        <w:t>状态</w:t>
      </w:r>
      <w:r>
        <w:rPr>
          <w:rFonts w:hint="eastAsia" w:ascii="楷体" w:hAnsi="楷体" w:eastAsia="楷体"/>
          <w:bCs/>
          <w:sz w:val="21"/>
          <w:szCs w:val="21"/>
        </w:rPr>
        <w:t>、</w:t>
      </w:r>
      <w:r>
        <w:rPr>
          <w:rFonts w:ascii="楷体" w:hAnsi="楷体" w:eastAsia="楷体"/>
          <w:bCs/>
          <w:sz w:val="21"/>
          <w:szCs w:val="21"/>
        </w:rPr>
        <w:t>质量要求、结果评定准则等</w:t>
      </w:r>
      <w:r>
        <w:rPr>
          <w:rFonts w:hint="eastAsia" w:ascii="楷体" w:hAnsi="楷体" w:eastAsia="楷体"/>
          <w:bCs/>
          <w:sz w:val="21"/>
          <w:szCs w:val="21"/>
        </w:rPr>
        <w:t>。对顾客关注的试验，测试大纲（软件测试</w:t>
      </w:r>
      <w:r>
        <w:rPr>
          <w:rFonts w:ascii="楷体" w:hAnsi="楷体" w:eastAsia="楷体"/>
          <w:bCs/>
          <w:sz w:val="21"/>
          <w:szCs w:val="21"/>
        </w:rPr>
        <w:t>计划</w:t>
      </w:r>
      <w:r>
        <w:rPr>
          <w:rFonts w:hint="eastAsia" w:ascii="楷体" w:hAnsi="楷体" w:eastAsia="楷体"/>
          <w:bCs/>
          <w:sz w:val="21"/>
          <w:szCs w:val="21"/>
        </w:rPr>
        <w:t>）应</w:t>
      </w:r>
      <w:r>
        <w:rPr>
          <w:rFonts w:ascii="楷体" w:hAnsi="楷体" w:eastAsia="楷体"/>
          <w:bCs/>
          <w:sz w:val="21"/>
          <w:szCs w:val="21"/>
        </w:rPr>
        <w:t>经顾客同意</w:t>
      </w:r>
      <w:r>
        <w:rPr>
          <w:rFonts w:hint="eastAsia" w:ascii="楷体" w:hAnsi="楷体" w:eastAsia="楷体"/>
          <w:bCs/>
          <w:sz w:val="21"/>
          <w:szCs w:val="21"/>
        </w:rPr>
        <w:t>；</w:t>
      </w:r>
    </w:p>
    <w:p w14:paraId="7E7D31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b)做好试验前的准备，并实施准备状态检查：1）</w:t>
      </w:r>
      <w:r>
        <w:rPr>
          <w:rFonts w:ascii="楷体" w:hAnsi="楷体" w:eastAsia="楷体"/>
          <w:bCs/>
          <w:sz w:val="21"/>
          <w:szCs w:val="21"/>
        </w:rPr>
        <w:t>待</w:t>
      </w:r>
      <w:r>
        <w:rPr>
          <w:rFonts w:hint="eastAsia" w:ascii="楷体" w:hAnsi="楷体" w:eastAsia="楷体"/>
          <w:bCs/>
          <w:sz w:val="21"/>
          <w:szCs w:val="21"/>
        </w:rPr>
        <w:t>测试产品</w:t>
      </w:r>
      <w:r>
        <w:rPr>
          <w:rFonts w:ascii="楷体" w:hAnsi="楷体" w:eastAsia="楷体"/>
          <w:bCs/>
          <w:sz w:val="21"/>
          <w:szCs w:val="21"/>
        </w:rPr>
        <w:t>的状态</w:t>
      </w:r>
      <w:r>
        <w:rPr>
          <w:rFonts w:hint="eastAsia" w:ascii="楷体" w:hAnsi="楷体" w:eastAsia="楷体"/>
          <w:bCs/>
          <w:sz w:val="21"/>
          <w:szCs w:val="21"/>
        </w:rPr>
        <w:t>、</w:t>
      </w:r>
      <w:r>
        <w:rPr>
          <w:rFonts w:ascii="楷体" w:hAnsi="楷体" w:eastAsia="楷体"/>
          <w:bCs/>
          <w:sz w:val="21"/>
          <w:szCs w:val="21"/>
        </w:rPr>
        <w:t>版本是否符合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规定</w:t>
      </w:r>
      <w:r>
        <w:rPr>
          <w:rFonts w:hint="eastAsia" w:ascii="楷体" w:hAnsi="楷体" w:eastAsia="楷体"/>
          <w:bCs/>
          <w:sz w:val="21"/>
          <w:szCs w:val="21"/>
        </w:rPr>
        <w:t>；2）测试</w:t>
      </w:r>
      <w:r>
        <w:rPr>
          <w:rFonts w:ascii="楷体" w:hAnsi="楷体" w:eastAsia="楷体"/>
          <w:bCs/>
          <w:sz w:val="21"/>
          <w:szCs w:val="21"/>
        </w:rPr>
        <w:t>的组织</w:t>
      </w:r>
      <w:r>
        <w:rPr>
          <w:rFonts w:hint="eastAsia" w:ascii="楷体" w:hAnsi="楷体" w:eastAsia="楷体"/>
          <w:bCs/>
          <w:sz w:val="21"/>
          <w:szCs w:val="21"/>
        </w:rPr>
        <w:t>分工</w:t>
      </w:r>
      <w:r>
        <w:rPr>
          <w:rFonts w:ascii="楷体" w:hAnsi="楷体" w:eastAsia="楷体"/>
          <w:bCs/>
          <w:sz w:val="21"/>
          <w:szCs w:val="21"/>
        </w:rPr>
        <w:t>、人员职责及其能力</w:t>
      </w:r>
      <w:r>
        <w:rPr>
          <w:rFonts w:hint="eastAsia" w:ascii="楷体" w:hAnsi="楷体" w:eastAsia="楷体"/>
          <w:bCs/>
          <w:sz w:val="21"/>
          <w:szCs w:val="21"/>
        </w:rPr>
        <w:t>和</w:t>
      </w:r>
      <w:r>
        <w:rPr>
          <w:rFonts w:ascii="楷体" w:hAnsi="楷体" w:eastAsia="楷体"/>
          <w:bCs/>
          <w:sz w:val="21"/>
          <w:szCs w:val="21"/>
        </w:rPr>
        <w:t>培训、</w:t>
      </w:r>
      <w:r>
        <w:rPr>
          <w:rFonts w:hint="eastAsia" w:ascii="楷体" w:hAnsi="楷体" w:eastAsia="楷体"/>
          <w:bCs/>
          <w:sz w:val="21"/>
          <w:szCs w:val="21"/>
        </w:rPr>
        <w:t>测试</w:t>
      </w:r>
      <w:r>
        <w:rPr>
          <w:rFonts w:ascii="楷体" w:hAnsi="楷体" w:eastAsia="楷体"/>
          <w:bCs/>
          <w:sz w:val="21"/>
          <w:szCs w:val="21"/>
        </w:rPr>
        <w:t>设备状态及其</w:t>
      </w:r>
      <w:r>
        <w:rPr>
          <w:rFonts w:hint="eastAsia" w:ascii="楷体" w:hAnsi="楷体" w:eastAsia="楷体"/>
          <w:bCs/>
          <w:sz w:val="21"/>
          <w:szCs w:val="21"/>
        </w:rPr>
        <w:t>功能</w:t>
      </w:r>
      <w:r>
        <w:rPr>
          <w:rFonts w:ascii="楷体" w:hAnsi="楷体" w:eastAsia="楷体"/>
          <w:bCs/>
          <w:sz w:val="21"/>
          <w:szCs w:val="21"/>
        </w:rPr>
        <w:t>和精度、</w:t>
      </w:r>
      <w:r>
        <w:rPr>
          <w:rFonts w:hint="eastAsia" w:ascii="楷体" w:hAnsi="楷体" w:eastAsia="楷体"/>
          <w:bCs/>
          <w:sz w:val="21"/>
          <w:szCs w:val="21"/>
        </w:rPr>
        <w:t>测试</w:t>
      </w:r>
      <w:r>
        <w:rPr>
          <w:rFonts w:ascii="楷体" w:hAnsi="楷体" w:eastAsia="楷体"/>
          <w:bCs/>
          <w:sz w:val="21"/>
          <w:szCs w:val="21"/>
        </w:rPr>
        <w:t>环境条件、</w:t>
      </w:r>
      <w:r>
        <w:rPr>
          <w:rFonts w:hint="eastAsia" w:ascii="楷体" w:hAnsi="楷体" w:eastAsia="楷体"/>
          <w:bCs/>
          <w:sz w:val="21"/>
          <w:szCs w:val="21"/>
        </w:rPr>
        <w:t>测试</w:t>
      </w:r>
      <w:r>
        <w:rPr>
          <w:rFonts w:ascii="楷体" w:hAnsi="楷体" w:eastAsia="楷体"/>
          <w:bCs/>
          <w:sz w:val="21"/>
          <w:szCs w:val="21"/>
        </w:rPr>
        <w:t>文件</w:t>
      </w:r>
      <w:r>
        <w:rPr>
          <w:rFonts w:hint="eastAsia" w:ascii="楷体" w:hAnsi="楷体" w:eastAsia="楷体"/>
          <w:bCs/>
          <w:sz w:val="21"/>
          <w:szCs w:val="21"/>
        </w:rPr>
        <w:t>和</w:t>
      </w:r>
      <w:r>
        <w:rPr>
          <w:rFonts w:ascii="楷体" w:hAnsi="楷体" w:eastAsia="楷体"/>
          <w:bCs/>
          <w:sz w:val="21"/>
          <w:szCs w:val="21"/>
        </w:rPr>
        <w:t>记录等是否符合</w:t>
      </w:r>
      <w:r>
        <w:rPr>
          <w:rFonts w:hint="eastAsia" w:ascii="楷体" w:hAnsi="楷体" w:eastAsia="楷体"/>
          <w:bCs/>
          <w:sz w:val="21"/>
          <w:szCs w:val="21"/>
        </w:rPr>
        <w:t>测试大纲（软件测试</w:t>
      </w:r>
      <w:r>
        <w:rPr>
          <w:rFonts w:ascii="楷体" w:hAnsi="楷体" w:eastAsia="楷体"/>
          <w:bCs/>
          <w:sz w:val="21"/>
          <w:szCs w:val="21"/>
        </w:rPr>
        <w:t>计划</w:t>
      </w:r>
      <w:r>
        <w:rPr>
          <w:rFonts w:hint="eastAsia" w:ascii="楷体" w:hAnsi="楷体" w:eastAsia="楷体"/>
          <w:bCs/>
          <w:sz w:val="21"/>
          <w:szCs w:val="21"/>
        </w:rPr>
        <w:t>）的</w:t>
      </w:r>
      <w:r>
        <w:rPr>
          <w:rFonts w:ascii="楷体" w:hAnsi="楷体" w:eastAsia="楷体"/>
          <w:bCs/>
          <w:sz w:val="21"/>
          <w:szCs w:val="21"/>
        </w:rPr>
        <w:t>要求</w:t>
      </w:r>
      <w:r>
        <w:rPr>
          <w:rFonts w:hint="eastAsia" w:ascii="楷体" w:hAnsi="楷体" w:eastAsia="楷体"/>
          <w:bCs/>
          <w:sz w:val="21"/>
          <w:szCs w:val="21"/>
        </w:rPr>
        <w:t>。</w:t>
      </w:r>
    </w:p>
    <w:p w14:paraId="2CFC320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c)按照试验大纲或试验计划组织试验；</w:t>
      </w:r>
    </w:p>
    <w:p w14:paraId="19CC310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d)</w:t>
      </w:r>
      <w:r>
        <w:rPr>
          <w:rFonts w:hint="eastAsia" w:ascii="仿宋" w:hAnsi="仿宋" w:eastAsia="仿宋"/>
          <w:bCs/>
        </w:rPr>
        <w:t xml:space="preserve"> </w:t>
      </w:r>
      <w:r>
        <w:rPr>
          <w:rFonts w:hint="eastAsia" w:ascii="楷体" w:hAnsi="楷体" w:eastAsia="楷体"/>
          <w:bCs/>
          <w:sz w:val="21"/>
          <w:szCs w:val="21"/>
        </w:rPr>
        <w:t>为</w:t>
      </w:r>
      <w:r>
        <w:rPr>
          <w:rFonts w:ascii="楷体" w:hAnsi="楷体" w:eastAsia="楷体"/>
          <w:bCs/>
          <w:sz w:val="21"/>
          <w:szCs w:val="21"/>
        </w:rPr>
        <w:t>确保</w:t>
      </w:r>
      <w:r>
        <w:rPr>
          <w:rFonts w:hint="eastAsia" w:ascii="楷体" w:hAnsi="楷体" w:eastAsia="楷体"/>
          <w:bCs/>
          <w:sz w:val="21"/>
          <w:szCs w:val="21"/>
        </w:rPr>
        <w:t>测试</w:t>
      </w:r>
      <w:r>
        <w:rPr>
          <w:rFonts w:ascii="楷体" w:hAnsi="楷体" w:eastAsia="楷体"/>
          <w:bCs/>
          <w:sz w:val="21"/>
          <w:szCs w:val="21"/>
        </w:rPr>
        <w:t>数据完整、准确、客观、可信和</w:t>
      </w:r>
      <w:r>
        <w:rPr>
          <w:rFonts w:hint="eastAsia" w:ascii="楷体" w:hAnsi="楷体" w:eastAsia="楷体"/>
          <w:bCs/>
          <w:sz w:val="21"/>
          <w:szCs w:val="21"/>
        </w:rPr>
        <w:t>测试</w:t>
      </w:r>
      <w:r>
        <w:rPr>
          <w:rFonts w:ascii="楷体" w:hAnsi="楷体" w:eastAsia="楷体"/>
          <w:bCs/>
          <w:sz w:val="21"/>
          <w:szCs w:val="21"/>
        </w:rPr>
        <w:t>结果的有效性</w:t>
      </w:r>
      <w:r>
        <w:rPr>
          <w:rFonts w:hint="eastAsia" w:ascii="楷体" w:hAnsi="楷体" w:eastAsia="楷体"/>
          <w:bCs/>
          <w:sz w:val="21"/>
          <w:szCs w:val="21"/>
        </w:rPr>
        <w:t>，</w:t>
      </w:r>
      <w:r>
        <w:rPr>
          <w:rFonts w:ascii="楷体" w:hAnsi="楷体" w:eastAsia="楷体"/>
          <w:bCs/>
          <w:sz w:val="21"/>
          <w:szCs w:val="21"/>
        </w:rPr>
        <w:t>应</w:t>
      </w:r>
      <w:r>
        <w:rPr>
          <w:rFonts w:hint="eastAsia" w:ascii="楷体" w:hAnsi="楷体" w:eastAsia="楷体"/>
          <w:bCs/>
          <w:sz w:val="21"/>
          <w:szCs w:val="21"/>
        </w:rPr>
        <w:t>按照测试大纲（软件测试</w:t>
      </w:r>
      <w:r>
        <w:rPr>
          <w:rFonts w:ascii="楷体" w:hAnsi="楷体" w:eastAsia="楷体"/>
          <w:bCs/>
          <w:sz w:val="21"/>
          <w:szCs w:val="21"/>
        </w:rPr>
        <w:t>计划</w:t>
      </w:r>
      <w:r>
        <w:rPr>
          <w:rFonts w:hint="eastAsia" w:ascii="楷体" w:hAnsi="楷体" w:eastAsia="楷体"/>
          <w:bCs/>
          <w:sz w:val="21"/>
          <w:szCs w:val="21"/>
        </w:rPr>
        <w:t>）组织</w:t>
      </w:r>
      <w:r>
        <w:rPr>
          <w:rFonts w:ascii="楷体" w:hAnsi="楷体" w:eastAsia="楷体"/>
          <w:bCs/>
          <w:sz w:val="21"/>
          <w:szCs w:val="21"/>
        </w:rPr>
        <w:t>进行</w:t>
      </w:r>
      <w:r>
        <w:rPr>
          <w:rFonts w:hint="eastAsia" w:ascii="楷体" w:hAnsi="楷体" w:eastAsia="楷体"/>
          <w:bCs/>
          <w:sz w:val="21"/>
          <w:szCs w:val="21"/>
        </w:rPr>
        <w:t>测试，并</w:t>
      </w:r>
      <w:r>
        <w:rPr>
          <w:rFonts w:ascii="楷体" w:hAnsi="楷体" w:eastAsia="楷体"/>
          <w:bCs/>
          <w:sz w:val="21"/>
          <w:szCs w:val="21"/>
        </w:rPr>
        <w:t>按规定的程序和要求</w:t>
      </w:r>
      <w:r>
        <w:rPr>
          <w:rFonts w:hint="eastAsia" w:ascii="楷体" w:hAnsi="楷体" w:eastAsia="楷体"/>
          <w:bCs/>
          <w:sz w:val="21"/>
          <w:szCs w:val="21"/>
        </w:rPr>
        <w:t>收集</w:t>
      </w:r>
      <w:r>
        <w:rPr>
          <w:rFonts w:ascii="楷体" w:hAnsi="楷体" w:eastAsia="楷体"/>
          <w:bCs/>
          <w:sz w:val="21"/>
          <w:szCs w:val="21"/>
        </w:rPr>
        <w:t>整理</w:t>
      </w:r>
      <w:r>
        <w:rPr>
          <w:rFonts w:hint="eastAsia" w:ascii="楷体" w:hAnsi="楷体" w:eastAsia="楷体"/>
          <w:bCs/>
          <w:sz w:val="21"/>
          <w:szCs w:val="21"/>
        </w:rPr>
        <w:t>测试数</w:t>
      </w:r>
      <w:r>
        <w:rPr>
          <w:rFonts w:ascii="楷体" w:hAnsi="楷体" w:eastAsia="楷体"/>
          <w:bCs/>
          <w:sz w:val="21"/>
          <w:szCs w:val="21"/>
        </w:rPr>
        <w:t>据和原始信息</w:t>
      </w:r>
      <w:r>
        <w:rPr>
          <w:rFonts w:hint="eastAsia" w:ascii="楷体" w:hAnsi="楷体" w:eastAsia="楷体"/>
          <w:bCs/>
          <w:sz w:val="21"/>
          <w:szCs w:val="21"/>
        </w:rPr>
        <w:t>及</w:t>
      </w:r>
      <w:r>
        <w:rPr>
          <w:rFonts w:ascii="楷体" w:hAnsi="楷体" w:eastAsia="楷体"/>
          <w:bCs/>
          <w:sz w:val="21"/>
          <w:szCs w:val="21"/>
        </w:rPr>
        <w:t>记录，分析、评价</w:t>
      </w:r>
      <w:r>
        <w:rPr>
          <w:rFonts w:hint="eastAsia" w:ascii="楷体" w:hAnsi="楷体" w:eastAsia="楷体"/>
          <w:bCs/>
          <w:sz w:val="21"/>
          <w:szCs w:val="21"/>
        </w:rPr>
        <w:t>测试</w:t>
      </w:r>
      <w:r>
        <w:rPr>
          <w:rFonts w:ascii="楷体" w:hAnsi="楷体" w:eastAsia="楷体"/>
          <w:bCs/>
          <w:sz w:val="21"/>
          <w:szCs w:val="21"/>
        </w:rPr>
        <w:t>结果</w:t>
      </w:r>
      <w:r>
        <w:rPr>
          <w:rFonts w:hint="eastAsia" w:ascii="楷体" w:hAnsi="楷体" w:eastAsia="楷体"/>
          <w:bCs/>
          <w:sz w:val="21"/>
          <w:szCs w:val="21"/>
        </w:rPr>
        <w:t>；</w:t>
      </w:r>
    </w:p>
    <w:p w14:paraId="7DB6BA5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w:t>
      </w:r>
      <w:r>
        <w:rPr>
          <w:rFonts w:hint="eastAsia" w:ascii="仿宋" w:hAnsi="仿宋" w:eastAsia="仿宋"/>
          <w:bCs/>
        </w:rPr>
        <w:t xml:space="preserve"> </w:t>
      </w:r>
      <w:r>
        <w:rPr>
          <w:rFonts w:hint="eastAsia" w:ascii="楷体" w:hAnsi="楷体" w:eastAsia="楷体"/>
          <w:bCs/>
          <w:sz w:val="21"/>
          <w:szCs w:val="21"/>
        </w:rPr>
        <w:t>对测试中发现</w:t>
      </w:r>
      <w:r>
        <w:rPr>
          <w:rFonts w:ascii="楷体" w:hAnsi="楷体" w:eastAsia="楷体"/>
          <w:bCs/>
          <w:sz w:val="21"/>
          <w:szCs w:val="21"/>
        </w:rPr>
        <w:t>的故障和缺陷</w:t>
      </w:r>
      <w:r>
        <w:rPr>
          <w:rFonts w:hint="eastAsia" w:ascii="楷体" w:hAnsi="楷体" w:eastAsia="楷体"/>
          <w:bCs/>
          <w:sz w:val="21"/>
          <w:szCs w:val="21"/>
        </w:rPr>
        <w:t>应</w:t>
      </w:r>
      <w:r>
        <w:rPr>
          <w:rFonts w:ascii="楷体" w:hAnsi="楷体" w:eastAsia="楷体"/>
          <w:bCs/>
          <w:sz w:val="21"/>
          <w:szCs w:val="21"/>
        </w:rPr>
        <w:t>进行原因分析，</w:t>
      </w:r>
      <w:r>
        <w:rPr>
          <w:rFonts w:hint="eastAsia" w:ascii="楷体" w:hAnsi="楷体" w:eastAsia="楷体"/>
          <w:bCs/>
          <w:sz w:val="21"/>
          <w:szCs w:val="21"/>
        </w:rPr>
        <w:t>采取有效</w:t>
      </w:r>
      <w:r>
        <w:rPr>
          <w:rFonts w:ascii="楷体" w:hAnsi="楷体" w:eastAsia="楷体"/>
          <w:bCs/>
          <w:sz w:val="21"/>
          <w:szCs w:val="21"/>
        </w:rPr>
        <w:t>的的</w:t>
      </w:r>
      <w:r>
        <w:rPr>
          <w:rFonts w:hint="eastAsia" w:ascii="楷体" w:hAnsi="楷体" w:eastAsia="楷体"/>
          <w:bCs/>
          <w:sz w:val="21"/>
          <w:szCs w:val="21"/>
        </w:rPr>
        <w:t>纠正措施，</w:t>
      </w:r>
      <w:r>
        <w:rPr>
          <w:rFonts w:ascii="楷体" w:hAnsi="楷体" w:eastAsia="楷体"/>
          <w:bCs/>
          <w:sz w:val="21"/>
          <w:szCs w:val="21"/>
        </w:rPr>
        <w:t>并再次进行</w:t>
      </w:r>
      <w:r>
        <w:rPr>
          <w:rFonts w:hint="eastAsia" w:ascii="楷体" w:hAnsi="楷体" w:eastAsia="楷体"/>
          <w:bCs/>
          <w:sz w:val="21"/>
          <w:szCs w:val="21"/>
        </w:rPr>
        <w:t>测试（</w:t>
      </w:r>
      <w:r>
        <w:rPr>
          <w:rFonts w:ascii="楷体" w:hAnsi="楷体" w:eastAsia="楷体"/>
          <w:bCs/>
          <w:sz w:val="21"/>
          <w:szCs w:val="21"/>
        </w:rPr>
        <w:t>回归测试），以消除故障和缺陷的原因，防止</w:t>
      </w:r>
      <w:r>
        <w:rPr>
          <w:rFonts w:hint="eastAsia" w:ascii="楷体" w:hAnsi="楷体" w:eastAsia="楷体"/>
          <w:bCs/>
          <w:sz w:val="21"/>
          <w:szCs w:val="21"/>
        </w:rPr>
        <w:t>其</w:t>
      </w:r>
      <w:r>
        <w:rPr>
          <w:rFonts w:ascii="楷体" w:hAnsi="楷体" w:eastAsia="楷体"/>
          <w:bCs/>
          <w:sz w:val="21"/>
          <w:szCs w:val="21"/>
        </w:rPr>
        <w:t>再次发生</w:t>
      </w:r>
      <w:r>
        <w:rPr>
          <w:rFonts w:hint="eastAsia" w:ascii="楷体" w:hAnsi="楷体" w:eastAsia="楷体"/>
          <w:bCs/>
          <w:sz w:val="21"/>
          <w:szCs w:val="21"/>
        </w:rPr>
        <w:t xml:space="preserve"> (见10.2)；</w:t>
      </w:r>
    </w:p>
    <w:p w14:paraId="550B74C0">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f)保留试验过程、结果及任何必要措施的记录(见7.5.3)；</w:t>
      </w:r>
    </w:p>
    <w:p w14:paraId="711BC16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g)对</w:t>
      </w:r>
      <w:r>
        <w:rPr>
          <w:rFonts w:ascii="楷体" w:hAnsi="楷体" w:eastAsia="楷体"/>
          <w:bCs/>
          <w:sz w:val="21"/>
          <w:szCs w:val="21"/>
        </w:rPr>
        <w:t>用于</w:t>
      </w:r>
      <w:r>
        <w:rPr>
          <w:rFonts w:hint="eastAsia" w:ascii="楷体" w:hAnsi="楷体" w:eastAsia="楷体"/>
          <w:bCs/>
          <w:sz w:val="21"/>
          <w:szCs w:val="21"/>
        </w:rPr>
        <w:t>测试</w:t>
      </w:r>
      <w:r>
        <w:rPr>
          <w:rFonts w:ascii="楷体" w:hAnsi="楷体" w:eastAsia="楷体"/>
          <w:bCs/>
          <w:sz w:val="21"/>
          <w:szCs w:val="21"/>
        </w:rPr>
        <w:t>的计算机软件应在首次使用前进行验证和确认。验证</w:t>
      </w:r>
      <w:r>
        <w:rPr>
          <w:rFonts w:hint="eastAsia" w:ascii="楷体" w:hAnsi="楷体" w:eastAsia="楷体"/>
          <w:bCs/>
          <w:sz w:val="21"/>
          <w:szCs w:val="21"/>
        </w:rPr>
        <w:t>和</w:t>
      </w:r>
      <w:r>
        <w:rPr>
          <w:rFonts w:ascii="楷体" w:hAnsi="楷体" w:eastAsia="楷体"/>
          <w:bCs/>
          <w:sz w:val="21"/>
          <w:szCs w:val="21"/>
        </w:rPr>
        <w:t>确认</w:t>
      </w:r>
      <w:r>
        <w:rPr>
          <w:rFonts w:hint="eastAsia" w:ascii="楷体" w:hAnsi="楷体" w:eastAsia="楷体"/>
          <w:bCs/>
          <w:sz w:val="21"/>
          <w:szCs w:val="21"/>
        </w:rPr>
        <w:t>的</w:t>
      </w:r>
      <w:r>
        <w:rPr>
          <w:rFonts w:ascii="楷体" w:hAnsi="楷体" w:eastAsia="楷体"/>
          <w:bCs/>
          <w:sz w:val="21"/>
          <w:szCs w:val="21"/>
        </w:rPr>
        <w:t>方式包括集成测试和系统测试，利用样机进行测试验证，以及保持</w:t>
      </w:r>
      <w:r>
        <w:rPr>
          <w:rFonts w:hint="eastAsia" w:ascii="楷体" w:hAnsi="楷体" w:eastAsia="楷体"/>
          <w:bCs/>
          <w:sz w:val="21"/>
          <w:szCs w:val="21"/>
        </w:rPr>
        <w:t>其</w:t>
      </w:r>
      <w:r>
        <w:rPr>
          <w:rFonts w:ascii="楷体" w:hAnsi="楷体" w:eastAsia="楷体"/>
          <w:bCs/>
          <w:sz w:val="21"/>
          <w:szCs w:val="21"/>
        </w:rPr>
        <w:t>适用性的配置管理等。必要时</w:t>
      </w:r>
      <w:r>
        <w:rPr>
          <w:rFonts w:hint="eastAsia" w:ascii="楷体" w:hAnsi="楷体" w:eastAsia="楷体"/>
          <w:bCs/>
          <w:sz w:val="21"/>
          <w:szCs w:val="21"/>
        </w:rPr>
        <w:t>，</w:t>
      </w:r>
      <w:r>
        <w:rPr>
          <w:rFonts w:ascii="楷体" w:hAnsi="楷体" w:eastAsia="楷体"/>
          <w:bCs/>
          <w:sz w:val="21"/>
          <w:szCs w:val="21"/>
        </w:rPr>
        <w:t>实施再确认，并按软件配置管理的适用要求实施控制</w:t>
      </w:r>
      <w:r>
        <w:rPr>
          <w:rFonts w:hint="eastAsia" w:ascii="楷体" w:hAnsi="楷体" w:eastAsia="楷体"/>
          <w:bCs/>
          <w:sz w:val="21"/>
          <w:szCs w:val="21"/>
        </w:rPr>
        <w:t>；</w:t>
      </w:r>
    </w:p>
    <w:p w14:paraId="315783D1">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h)在有资质并得到顾客认可的试验机构进行鉴定试验。</w:t>
      </w:r>
    </w:p>
    <w:p w14:paraId="0EC99EF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对顾客</w:t>
      </w:r>
      <w:r>
        <w:rPr>
          <w:rFonts w:ascii="楷体" w:hAnsi="楷体" w:eastAsia="楷体"/>
          <w:bCs/>
          <w:sz w:val="21"/>
          <w:szCs w:val="21"/>
        </w:rPr>
        <w:t>关注的</w:t>
      </w:r>
      <w:r>
        <w:rPr>
          <w:rFonts w:hint="eastAsia" w:ascii="楷体" w:hAnsi="楷体" w:eastAsia="楷体"/>
          <w:bCs/>
          <w:sz w:val="21"/>
          <w:szCs w:val="21"/>
        </w:rPr>
        <w:t>测试</w:t>
      </w:r>
      <w:r>
        <w:rPr>
          <w:rFonts w:ascii="楷体" w:hAnsi="楷体" w:eastAsia="楷体"/>
          <w:bCs/>
          <w:sz w:val="21"/>
          <w:szCs w:val="21"/>
        </w:rPr>
        <w:t>，应邀请顾客参加</w:t>
      </w:r>
      <w:r>
        <w:rPr>
          <w:rFonts w:hint="eastAsia" w:ascii="楷体" w:hAnsi="楷体" w:eastAsia="楷体"/>
          <w:bCs/>
          <w:sz w:val="21"/>
          <w:szCs w:val="21"/>
        </w:rPr>
        <w:t>，测试结果应向顾客通报，测试大纲（软件测试</w:t>
      </w:r>
      <w:r>
        <w:rPr>
          <w:rFonts w:ascii="楷体" w:hAnsi="楷体" w:eastAsia="楷体"/>
          <w:bCs/>
          <w:sz w:val="21"/>
          <w:szCs w:val="21"/>
        </w:rPr>
        <w:t>计划</w:t>
      </w:r>
      <w:r>
        <w:rPr>
          <w:rFonts w:hint="eastAsia" w:ascii="楷体" w:hAnsi="楷体" w:eastAsia="楷体"/>
          <w:bCs/>
          <w:sz w:val="21"/>
          <w:szCs w:val="21"/>
        </w:rPr>
        <w:t>）及测试过程变更时应征得顾客同意。</w:t>
      </w:r>
    </w:p>
    <w:p w14:paraId="0C581A43">
      <w:pPr>
        <w:spacing w:line="400" w:lineRule="exact"/>
        <w:ind w:firstLine="420" w:firstLineChars="200"/>
        <w:rPr>
          <w:rFonts w:ascii="楷体" w:hAnsi="楷体" w:eastAsia="楷体"/>
          <w:bCs/>
          <w:sz w:val="21"/>
          <w:szCs w:val="21"/>
        </w:rPr>
      </w:pPr>
    </w:p>
    <w:p w14:paraId="5E95497F">
      <w:pPr>
        <w:spacing w:line="400" w:lineRule="exact"/>
        <w:ind w:firstLine="422" w:firstLineChars="200"/>
        <w:rPr>
          <w:rFonts w:ascii="楷体" w:hAnsi="楷体" w:eastAsia="楷体"/>
          <w:b/>
          <w:sz w:val="21"/>
          <w:szCs w:val="21"/>
        </w:rPr>
      </w:pPr>
    </w:p>
    <w:p w14:paraId="031411A8">
      <w:pPr>
        <w:spacing w:line="400" w:lineRule="exact"/>
        <w:ind w:firstLine="420" w:firstLineChars="200"/>
        <w:rPr>
          <w:rFonts w:ascii="宋体" w:hAnsi="宋体"/>
          <w:sz w:val="21"/>
          <w:szCs w:val="21"/>
        </w:rPr>
      </w:pPr>
    </w:p>
    <w:p w14:paraId="1968C1FA">
      <w:pPr>
        <w:pStyle w:val="3"/>
        <w:spacing w:before="120" w:beforeLines="50" w:after="120" w:afterLines="50" w:line="400" w:lineRule="exact"/>
        <w:rPr>
          <w:rFonts w:ascii="宋体" w:hAnsi="宋体" w:eastAsia="宋体"/>
          <w:sz w:val="21"/>
          <w:szCs w:val="21"/>
        </w:rPr>
      </w:pPr>
      <w:bookmarkStart w:id="116" w:name="_Toc509845151"/>
      <w:bookmarkStart w:id="117" w:name="_Toc509844819"/>
      <w:bookmarkStart w:id="118" w:name="_Toc521509463"/>
      <w:bookmarkStart w:id="119" w:name="_Toc509844129"/>
      <w:r>
        <w:rPr>
          <w:rFonts w:hint="eastAsia" w:ascii="宋体" w:hAnsi="宋体" w:eastAsia="宋体"/>
          <w:sz w:val="24"/>
          <w:szCs w:val="24"/>
        </w:rPr>
        <w:t>8.4外部提供的过程、产品和服务的控制</w:t>
      </w:r>
      <w:bookmarkEnd w:id="116"/>
      <w:bookmarkEnd w:id="117"/>
      <w:bookmarkEnd w:id="118"/>
      <w:bookmarkEnd w:id="119"/>
    </w:p>
    <w:p w14:paraId="5C7020DD">
      <w:pPr>
        <w:spacing w:line="400" w:lineRule="exact"/>
        <w:rPr>
          <w:rFonts w:ascii="宋体" w:hAnsi="宋体"/>
          <w:sz w:val="21"/>
          <w:szCs w:val="21"/>
        </w:rPr>
      </w:pPr>
      <w:r>
        <w:rPr>
          <w:rFonts w:ascii="宋体" w:hAnsi="宋体"/>
          <w:sz w:val="21"/>
          <w:szCs w:val="21"/>
        </w:rPr>
        <w:t>8.4.1总则</w:t>
      </w:r>
    </w:p>
    <w:p w14:paraId="19B6E69A">
      <w:pPr>
        <w:spacing w:line="400" w:lineRule="exact"/>
        <w:ind w:firstLine="420" w:firstLineChars="200"/>
        <w:rPr>
          <w:rFonts w:ascii="宋体" w:hAnsi="宋体"/>
          <w:sz w:val="21"/>
          <w:szCs w:val="21"/>
        </w:rPr>
      </w:pPr>
      <w:r>
        <w:rPr>
          <w:rFonts w:hint="eastAsia" w:ascii="宋体" w:hAnsi="宋体"/>
          <w:sz w:val="21"/>
          <w:szCs w:val="21"/>
        </w:rPr>
        <w:t>综合行政部负责外部提供的过程、产品和服务的归口管理，</w:t>
      </w:r>
      <w:r>
        <w:rPr>
          <w:rFonts w:ascii="宋体" w:hAnsi="宋体"/>
          <w:sz w:val="21"/>
          <w:szCs w:val="21"/>
        </w:rPr>
        <w:t>确保外部提供的过程、产品和服务符合产品生产过程和产品质量要求。</w:t>
      </w:r>
      <w:r>
        <w:rPr>
          <w:rFonts w:hint="eastAsia" w:ascii="宋体"/>
          <w:sz w:val="21"/>
          <w:szCs w:val="21"/>
        </w:rPr>
        <w:t>质量管理部负责对采购产品质量的验证；</w:t>
      </w:r>
      <w:r>
        <w:rPr>
          <w:rFonts w:hint="eastAsia" w:ascii="宋体" w:hAnsi="宋体"/>
          <w:sz w:val="21"/>
          <w:szCs w:val="21"/>
        </w:rPr>
        <w:t>生产运维部负责生产过程中外包过程质量控制的归口管理；研发部负责设计开发外包过程质量控制的归口管理；质量管理部负责生产过程外包产品的验证；研发部和质量管理部负责设计开发外包产品的验证；质量管理部负责检测、试验外包的归口管理。</w:t>
      </w:r>
      <w:r>
        <w:rPr>
          <w:rFonts w:ascii="宋体" w:hAnsi="宋体"/>
          <w:sz w:val="21"/>
          <w:szCs w:val="21"/>
        </w:rPr>
        <w:t>在下</w:t>
      </w:r>
      <w:r>
        <w:rPr>
          <w:rFonts w:hint="eastAsia" w:ascii="宋体" w:hAnsi="宋体"/>
          <w:sz w:val="21"/>
          <w:szCs w:val="21"/>
        </w:rPr>
        <w:t>列</w:t>
      </w:r>
      <w:r>
        <w:rPr>
          <w:rFonts w:ascii="宋体" w:hAnsi="宋体"/>
          <w:sz w:val="21"/>
          <w:szCs w:val="21"/>
        </w:rPr>
        <w:t>情况下，应确定对外部提供的过程、产品和服务实施控制：</w:t>
      </w:r>
    </w:p>
    <w:p w14:paraId="5E44FDF4">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 xml:space="preserve">外部供方的产品和服务将构成公司自身的产品和服务的一部分，我公司称之为产品和服务的采购； </w:t>
      </w:r>
    </w:p>
    <w:p w14:paraId="7CDFD2D9">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 xml:space="preserve">外部供方代表公司直接将产品和服务提供给顾客，我公司称之为整体外包； </w:t>
      </w:r>
    </w:p>
    <w:p w14:paraId="1548DAE5">
      <w:pPr>
        <w:spacing w:line="400" w:lineRule="exact"/>
        <w:ind w:firstLine="420" w:firstLineChars="200"/>
        <w:rPr>
          <w:rFonts w:ascii="宋体" w:hAnsi="宋体"/>
          <w:sz w:val="21"/>
          <w:szCs w:val="21"/>
        </w:rPr>
      </w:pPr>
      <w:r>
        <w:rPr>
          <w:rFonts w:ascii="宋体" w:hAnsi="宋体"/>
          <w:sz w:val="21"/>
          <w:szCs w:val="21"/>
        </w:rPr>
        <w:t>c)公司决定由外部供方提供过程或部分过程</w:t>
      </w:r>
      <w:r>
        <w:rPr>
          <w:rFonts w:hint="eastAsia" w:ascii="宋体" w:hAnsi="宋体"/>
          <w:sz w:val="21"/>
          <w:szCs w:val="21"/>
        </w:rPr>
        <w:t>，我公司称之为过程外包。包括计量器具检定、软件第三方测评；</w:t>
      </w:r>
    </w:p>
    <w:p w14:paraId="164DE54C">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应基于外部供方提供所要求的过程、产品或服务的能力，确定对外部供方的评价、选择、绩效监视以及再评价的准则，并加以实施。评价活动和由评价引发的任何必要的措施，应保留成文信息。</w:t>
      </w:r>
    </w:p>
    <w:p w14:paraId="702370A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公司应根据评价的结果编制合格供方名录，作为选择外部供方和采购的依据。合格供方名录应明确外部供方提供的过程、产品和服务的范围。</w:t>
      </w:r>
    </w:p>
    <w:p w14:paraId="6C40472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在合格供方名录外选择外部供方时，应按规定履行审批手续。综合行政部应要求外部供方对其直接和次级外部供方采取适当的控制，以确保其提供的产品和服务满足要求。</w:t>
      </w:r>
    </w:p>
    <w:p w14:paraId="36EE166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公司应邀请顾客参加其关注的外部供方评价和选择。</w:t>
      </w:r>
    </w:p>
    <w:p w14:paraId="51112040">
      <w:pPr>
        <w:spacing w:line="400" w:lineRule="exact"/>
        <w:ind w:firstLine="420" w:firstLineChars="200"/>
        <w:rPr>
          <w:rFonts w:ascii="宋体" w:hAnsi="宋体"/>
          <w:bCs/>
          <w:sz w:val="21"/>
          <w:szCs w:val="21"/>
        </w:rPr>
      </w:pPr>
      <w:r>
        <w:rPr>
          <w:rFonts w:hint="eastAsia" w:ascii="楷体" w:hAnsi="楷体" w:eastAsia="楷体"/>
          <w:bCs/>
          <w:sz w:val="21"/>
          <w:szCs w:val="21"/>
        </w:rPr>
        <w:t>选择，评价外部供方时，应确保有效地识别并控制风险(见8.1)。</w:t>
      </w:r>
    </w:p>
    <w:p w14:paraId="519B538C">
      <w:pPr>
        <w:spacing w:line="400" w:lineRule="exact"/>
        <w:rPr>
          <w:rFonts w:ascii="宋体" w:hAnsi="宋体"/>
          <w:sz w:val="21"/>
          <w:szCs w:val="21"/>
        </w:rPr>
      </w:pPr>
      <w:r>
        <w:rPr>
          <w:rFonts w:ascii="宋体" w:hAnsi="宋体"/>
          <w:sz w:val="21"/>
          <w:szCs w:val="21"/>
        </w:rPr>
        <w:t>8.4.2控制类型和程度</w:t>
      </w:r>
    </w:p>
    <w:p w14:paraId="5641AB4A">
      <w:pPr>
        <w:spacing w:line="400" w:lineRule="exact"/>
        <w:ind w:firstLine="420" w:firstLineChars="200"/>
        <w:rPr>
          <w:rFonts w:ascii="宋体" w:hAnsi="宋体"/>
          <w:sz w:val="21"/>
          <w:szCs w:val="21"/>
        </w:rPr>
      </w:pPr>
      <w:r>
        <w:rPr>
          <w:rFonts w:hint="eastAsia" w:ascii="宋体" w:hAnsi="宋体"/>
          <w:sz w:val="21"/>
          <w:szCs w:val="21"/>
        </w:rPr>
        <w:t>公司制定并实施《采购控制程序》、《外包控制程序》，由综合行政部主管，其他职能部门配合。</w:t>
      </w:r>
      <w:r>
        <w:rPr>
          <w:rFonts w:ascii="宋体" w:hAnsi="宋体"/>
          <w:sz w:val="21"/>
          <w:szCs w:val="21"/>
        </w:rPr>
        <w:t>公司</w:t>
      </w:r>
      <w:r>
        <w:rPr>
          <w:rFonts w:hint="eastAsia" w:ascii="宋体" w:hAnsi="宋体"/>
          <w:sz w:val="21"/>
          <w:szCs w:val="21"/>
        </w:rPr>
        <w:t>应</w:t>
      </w:r>
      <w:r>
        <w:rPr>
          <w:rFonts w:ascii="宋体" w:hAnsi="宋体"/>
          <w:sz w:val="21"/>
          <w:szCs w:val="21"/>
        </w:rPr>
        <w:t>确保外部提供的过程、产品和服务不会对</w:t>
      </w:r>
      <w:r>
        <w:rPr>
          <w:rFonts w:hint="eastAsia" w:ascii="宋体" w:hAnsi="宋体"/>
          <w:sz w:val="21"/>
          <w:szCs w:val="21"/>
        </w:rPr>
        <w:t>公司</w:t>
      </w:r>
      <w:r>
        <w:rPr>
          <w:rFonts w:ascii="宋体" w:hAnsi="宋体"/>
          <w:sz w:val="21"/>
          <w:szCs w:val="21"/>
        </w:rPr>
        <w:t>稳定地向顾客交付合格产品和服务的能力产生不利影响。</w:t>
      </w:r>
      <w:r>
        <w:rPr>
          <w:rFonts w:hint="eastAsia" w:ascii="宋体" w:hAnsi="宋体"/>
          <w:sz w:val="21"/>
          <w:szCs w:val="21"/>
        </w:rPr>
        <w:t>实施的控制活动包括：</w:t>
      </w:r>
    </w:p>
    <w:p w14:paraId="165B2847">
      <w:pPr>
        <w:spacing w:line="400" w:lineRule="exact"/>
        <w:ind w:firstLine="420" w:firstLineChars="200"/>
        <w:rPr>
          <w:rFonts w:ascii="宋体" w:hAnsi="宋体"/>
          <w:sz w:val="21"/>
          <w:szCs w:val="21"/>
        </w:rPr>
      </w:pPr>
      <w:r>
        <w:rPr>
          <w:rFonts w:ascii="宋体" w:hAnsi="宋体"/>
          <w:sz w:val="21"/>
          <w:szCs w:val="21"/>
        </w:rPr>
        <w:t>a)确保外部提供的过程保持在质量管理体系的控制之中；</w:t>
      </w:r>
    </w:p>
    <w:p w14:paraId="59167D2A">
      <w:pPr>
        <w:spacing w:line="400" w:lineRule="exact"/>
        <w:ind w:firstLine="420" w:firstLineChars="200"/>
        <w:rPr>
          <w:rFonts w:ascii="宋体" w:hAnsi="宋体"/>
          <w:sz w:val="21"/>
          <w:szCs w:val="21"/>
        </w:rPr>
      </w:pPr>
      <w:r>
        <w:rPr>
          <w:rFonts w:ascii="宋体" w:hAnsi="宋体"/>
          <w:sz w:val="21"/>
          <w:szCs w:val="21"/>
        </w:rPr>
        <w:t>b)规定对外部供方的控制及其输出结果的控制；</w:t>
      </w:r>
    </w:p>
    <w:p w14:paraId="5763EA0C">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)考虑外部提供的过程、产品和服务对</w:t>
      </w:r>
      <w:r>
        <w:rPr>
          <w:rFonts w:hint="eastAsia" w:ascii="宋体" w:hAnsi="宋体"/>
          <w:sz w:val="21"/>
          <w:szCs w:val="21"/>
        </w:rPr>
        <w:t>公司</w:t>
      </w:r>
      <w:r>
        <w:rPr>
          <w:rFonts w:ascii="宋体" w:hAnsi="宋体"/>
          <w:sz w:val="21"/>
          <w:szCs w:val="21"/>
        </w:rPr>
        <w:t>稳定地提供满足顾客要求和适用的法律法规要求的能力的潜在影响；</w:t>
      </w:r>
      <w:r>
        <w:rPr>
          <w:rFonts w:hint="eastAsia" w:ascii="宋体" w:hAnsi="宋体"/>
          <w:sz w:val="21"/>
          <w:szCs w:val="21"/>
        </w:rPr>
        <w:t>考虑由</w:t>
      </w:r>
      <w:r>
        <w:rPr>
          <w:rFonts w:ascii="宋体" w:hAnsi="宋体"/>
          <w:sz w:val="21"/>
          <w:szCs w:val="21"/>
        </w:rPr>
        <w:t>外部供方</w:t>
      </w:r>
      <w:r>
        <w:rPr>
          <w:rFonts w:hint="eastAsia" w:ascii="宋体" w:hAnsi="宋体"/>
          <w:sz w:val="21"/>
          <w:szCs w:val="21"/>
        </w:rPr>
        <w:t>实施</w:t>
      </w:r>
      <w:r>
        <w:rPr>
          <w:rFonts w:ascii="宋体" w:hAnsi="宋体"/>
          <w:sz w:val="21"/>
          <w:szCs w:val="21"/>
        </w:rPr>
        <w:t>控制的有效性；</w:t>
      </w:r>
    </w:p>
    <w:p w14:paraId="53DFE43D">
      <w:pPr>
        <w:spacing w:line="400" w:lineRule="exact"/>
        <w:ind w:firstLine="420" w:firstLineChars="200"/>
        <w:rPr>
          <w:rFonts w:ascii="宋体" w:hAnsi="宋体"/>
          <w:sz w:val="21"/>
          <w:szCs w:val="21"/>
        </w:rPr>
      </w:pPr>
      <w:r>
        <w:rPr>
          <w:rFonts w:ascii="宋体" w:hAnsi="宋体"/>
          <w:sz w:val="21"/>
          <w:szCs w:val="21"/>
        </w:rPr>
        <w:t>d)确定必要的验证或其他活动，以确保外部提供的过程、产品和服务满足要求</w:t>
      </w:r>
      <w:r>
        <w:rPr>
          <w:rFonts w:hint="eastAsia" w:ascii="宋体" w:hAnsi="宋体"/>
          <w:sz w:val="21"/>
          <w:szCs w:val="21"/>
        </w:rPr>
        <w:t>；</w:t>
      </w:r>
    </w:p>
    <w:p w14:paraId="27AECFF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e)明确验证要求、方法和合格判定准则，按要求实施验证，保留验证的记录；</w:t>
      </w:r>
    </w:p>
    <w:p w14:paraId="58996568">
      <w:pPr>
        <w:spacing w:line="400" w:lineRule="exact"/>
        <w:ind w:firstLine="420" w:firstLineChars="200"/>
        <w:rPr>
          <w:rFonts w:ascii="楷体" w:hAnsi="楷体" w:eastAsia="楷体"/>
          <w:bCs/>
          <w:sz w:val="21"/>
          <w:szCs w:val="21"/>
        </w:rPr>
      </w:pPr>
      <w:r>
        <w:rPr>
          <w:rFonts w:hint="eastAsia" w:ascii="楷体" w:hAnsi="楷体" w:eastAsia="楷体"/>
          <w:bCs/>
          <w:sz w:val="21"/>
          <w:szCs w:val="21"/>
        </w:rPr>
        <w:t>f)在委托外部供方进行验证时，规定委托的要求并保留委托和验证的记录，包括实验室或试验机构的资质信息；</w:t>
      </w:r>
    </w:p>
    <w:p w14:paraId="789D102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g)在采购非货架软件时，要求并监督外部供方按照软件工程化要求实施控制，保留控制的记录；</w:t>
      </w:r>
    </w:p>
    <w:p w14:paraId="62C64B4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h)在采购新设计和开发的产品时，对采购项目和外部供方进行充分论证，并按规定审批；</w:t>
      </w:r>
    </w:p>
    <w:p w14:paraId="5666E12D">
      <w:pPr>
        <w:spacing w:line="400" w:lineRule="exact"/>
        <w:ind w:firstLine="420" w:firstLineChars="200"/>
        <w:rPr>
          <w:rFonts w:ascii="宋体" w:hAnsi="宋体"/>
          <w:bCs/>
          <w:sz w:val="21"/>
          <w:szCs w:val="21"/>
        </w:rPr>
      </w:pPr>
      <w:r>
        <w:rPr>
          <w:rFonts w:hint="eastAsia" w:ascii="楷体" w:hAnsi="楷体" w:eastAsia="楷体"/>
          <w:bCs/>
          <w:sz w:val="21"/>
          <w:szCs w:val="21"/>
        </w:rPr>
        <w:t>i)确保采购的新设计和开发的产品，经验证合格后方可使用。</w:t>
      </w:r>
    </w:p>
    <w:p w14:paraId="0B26005F">
      <w:pPr>
        <w:spacing w:line="400" w:lineRule="exact"/>
        <w:rPr>
          <w:rFonts w:ascii="宋体" w:hAnsi="宋体"/>
          <w:sz w:val="21"/>
          <w:szCs w:val="21"/>
        </w:rPr>
      </w:pPr>
      <w:r>
        <w:rPr>
          <w:rFonts w:ascii="宋体" w:hAnsi="宋体"/>
          <w:sz w:val="21"/>
          <w:szCs w:val="21"/>
        </w:rPr>
        <w:t>8.4.3</w:t>
      </w:r>
      <w:r>
        <w:rPr>
          <w:rFonts w:hint="eastAsia" w:ascii="宋体" w:hAnsi="宋体"/>
          <w:sz w:val="21"/>
          <w:szCs w:val="21"/>
        </w:rPr>
        <w:t>提供给</w:t>
      </w:r>
      <w:r>
        <w:rPr>
          <w:rFonts w:ascii="宋体" w:hAnsi="宋体"/>
          <w:sz w:val="21"/>
          <w:szCs w:val="21"/>
        </w:rPr>
        <w:t>外部供方的信息</w:t>
      </w:r>
    </w:p>
    <w:p w14:paraId="1EDEE1F2">
      <w:pPr>
        <w:spacing w:line="400" w:lineRule="exact"/>
        <w:ind w:firstLine="420" w:firstLineChars="200"/>
        <w:rPr>
          <w:rFonts w:ascii="宋体" w:hAnsi="宋体"/>
          <w:sz w:val="21"/>
          <w:szCs w:val="21"/>
        </w:rPr>
      </w:pPr>
      <w:r>
        <w:rPr>
          <w:rFonts w:hint="eastAsia" w:ascii="宋体" w:hAnsi="宋体"/>
          <w:sz w:val="21"/>
          <w:szCs w:val="21"/>
        </w:rPr>
        <w:t>综合行政部</w:t>
      </w:r>
      <w:r>
        <w:rPr>
          <w:rFonts w:ascii="宋体" w:hAnsi="宋体"/>
          <w:sz w:val="21"/>
          <w:szCs w:val="21"/>
        </w:rPr>
        <w:t>应确保在与外部供方签订协议前，充分进行沟通，确保外部方提供的过程、产品</w:t>
      </w:r>
      <w:r>
        <w:rPr>
          <w:rFonts w:hint="eastAsia" w:ascii="宋体" w:hAnsi="宋体"/>
          <w:sz w:val="21"/>
          <w:szCs w:val="21"/>
        </w:rPr>
        <w:t>和</w:t>
      </w:r>
      <w:r>
        <w:rPr>
          <w:rFonts w:ascii="宋体" w:hAnsi="宋体"/>
          <w:sz w:val="21"/>
          <w:szCs w:val="21"/>
        </w:rPr>
        <w:t>服务</w:t>
      </w:r>
      <w:r>
        <w:rPr>
          <w:rFonts w:hint="eastAsia" w:ascii="宋体" w:hAnsi="宋体"/>
          <w:sz w:val="21"/>
          <w:szCs w:val="21"/>
        </w:rPr>
        <w:t>的</w:t>
      </w:r>
      <w:r>
        <w:rPr>
          <w:rFonts w:ascii="宋体" w:hAnsi="宋体"/>
          <w:sz w:val="21"/>
          <w:szCs w:val="21"/>
        </w:rPr>
        <w:t>要求明确具体。与外部供方沟通包括以下要求：</w:t>
      </w:r>
    </w:p>
    <w:p w14:paraId="3DC91CB3">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需</w:t>
      </w:r>
      <w:r>
        <w:rPr>
          <w:rFonts w:ascii="宋体" w:hAnsi="宋体"/>
          <w:sz w:val="21"/>
          <w:szCs w:val="21"/>
        </w:rPr>
        <w:t>提供的过程、产品和服务</w:t>
      </w:r>
      <w:r>
        <w:rPr>
          <w:rFonts w:hint="eastAsia" w:ascii="宋体" w:hAnsi="宋体"/>
          <w:sz w:val="21"/>
          <w:szCs w:val="21"/>
        </w:rPr>
        <w:t>；</w:t>
      </w:r>
    </w:p>
    <w:p w14:paraId="11837EEB">
      <w:pPr>
        <w:spacing w:line="400" w:lineRule="exact"/>
        <w:ind w:firstLine="420" w:firstLineChars="200"/>
        <w:rPr>
          <w:rFonts w:ascii="宋体" w:hAnsi="宋体"/>
          <w:sz w:val="21"/>
          <w:szCs w:val="21"/>
        </w:rPr>
      </w:pPr>
      <w:r>
        <w:rPr>
          <w:rFonts w:ascii="宋体" w:hAnsi="宋体"/>
          <w:sz w:val="21"/>
          <w:szCs w:val="21"/>
        </w:rPr>
        <w:t>b)对下列内容的批准：</w:t>
      </w:r>
    </w:p>
    <w:p w14:paraId="4D0A85D0">
      <w:pPr>
        <w:spacing w:line="400" w:lineRule="exact"/>
        <w:ind w:firstLine="420" w:firstLineChars="200"/>
        <w:rPr>
          <w:rFonts w:ascii="宋体" w:hAnsi="宋体"/>
          <w:sz w:val="21"/>
          <w:szCs w:val="21"/>
        </w:rPr>
      </w:pPr>
      <w:r>
        <w:rPr>
          <w:rFonts w:hint="eastAsia" w:ascii="宋体" w:hAnsi="宋体"/>
          <w:sz w:val="21"/>
          <w:szCs w:val="21"/>
        </w:rPr>
        <w:t>(a</w:t>
      </w:r>
      <w:r>
        <w:rPr>
          <w:rFonts w:ascii="宋体" w:hAnsi="宋体"/>
          <w:sz w:val="21"/>
          <w:szCs w:val="21"/>
        </w:rPr>
        <w:t>)产品和服务；</w:t>
      </w:r>
    </w:p>
    <w:p w14:paraId="441C47E2">
      <w:pPr>
        <w:spacing w:line="400" w:lineRule="exact"/>
        <w:ind w:firstLine="420" w:firstLineChars="200"/>
        <w:rPr>
          <w:rFonts w:ascii="宋体" w:hAnsi="宋体"/>
          <w:sz w:val="21"/>
          <w:szCs w:val="21"/>
        </w:rPr>
      </w:pPr>
      <w:r>
        <w:rPr>
          <w:rFonts w:hint="eastAsia" w:ascii="宋体" w:hAnsi="宋体"/>
          <w:sz w:val="21"/>
          <w:szCs w:val="21"/>
        </w:rPr>
        <w:t>(b</w:t>
      </w:r>
      <w:r>
        <w:rPr>
          <w:rFonts w:ascii="宋体" w:hAnsi="宋体"/>
          <w:sz w:val="21"/>
          <w:szCs w:val="21"/>
        </w:rPr>
        <w:t>)方法、过程和设备；</w:t>
      </w:r>
      <w:r>
        <w:rPr>
          <w:rFonts w:hint="eastAsia" w:ascii="宋体" w:hAnsi="宋体"/>
          <w:sz w:val="21"/>
          <w:szCs w:val="21"/>
        </w:rPr>
        <w:t xml:space="preserve"> </w:t>
      </w:r>
    </w:p>
    <w:p w14:paraId="1877D510">
      <w:pPr>
        <w:spacing w:line="400" w:lineRule="exact"/>
        <w:ind w:firstLine="420" w:firstLineChars="200"/>
        <w:rPr>
          <w:rFonts w:ascii="宋体" w:hAnsi="宋体"/>
          <w:sz w:val="21"/>
          <w:szCs w:val="21"/>
        </w:rPr>
      </w:pPr>
      <w:r>
        <w:rPr>
          <w:rFonts w:hint="eastAsia" w:ascii="宋体" w:hAnsi="宋体"/>
          <w:sz w:val="21"/>
          <w:szCs w:val="21"/>
        </w:rPr>
        <w:t>(c</w:t>
      </w:r>
      <w:r>
        <w:rPr>
          <w:rFonts w:ascii="宋体" w:hAnsi="宋体"/>
          <w:sz w:val="21"/>
          <w:szCs w:val="21"/>
        </w:rPr>
        <w:t>)产品和服务的放行</w:t>
      </w:r>
      <w:r>
        <w:rPr>
          <w:rFonts w:hint="eastAsia" w:ascii="宋体" w:hAnsi="宋体"/>
          <w:sz w:val="21"/>
          <w:szCs w:val="21"/>
        </w:rPr>
        <w:t>；</w:t>
      </w:r>
    </w:p>
    <w:p w14:paraId="33CF9F63">
      <w:pPr>
        <w:spacing w:line="400" w:lineRule="exact"/>
        <w:ind w:firstLine="420" w:firstLineChars="200"/>
        <w:rPr>
          <w:rFonts w:ascii="宋体" w:hAnsi="宋体"/>
          <w:sz w:val="21"/>
          <w:szCs w:val="21"/>
        </w:rPr>
      </w:pPr>
      <w:r>
        <w:rPr>
          <w:rFonts w:ascii="宋体" w:hAnsi="宋体"/>
          <w:sz w:val="21"/>
          <w:szCs w:val="21"/>
        </w:rPr>
        <w:t>c)能力，包括所要求的人员资质；</w:t>
      </w:r>
    </w:p>
    <w:p w14:paraId="2CABCE3E">
      <w:pPr>
        <w:spacing w:line="400" w:lineRule="exact"/>
        <w:ind w:firstLine="420" w:firstLineChars="200"/>
        <w:rPr>
          <w:rFonts w:ascii="宋体" w:hAnsi="宋体"/>
          <w:sz w:val="21"/>
          <w:szCs w:val="21"/>
        </w:rPr>
      </w:pPr>
      <w:r>
        <w:rPr>
          <w:rFonts w:ascii="宋体" w:hAnsi="宋体"/>
          <w:sz w:val="21"/>
          <w:szCs w:val="21"/>
        </w:rPr>
        <w:t>d)外部供方与组织的</w:t>
      </w:r>
      <w:r>
        <w:rPr>
          <w:rFonts w:hint="eastAsia" w:ascii="宋体" w:hAnsi="宋体"/>
          <w:sz w:val="21"/>
          <w:szCs w:val="21"/>
        </w:rPr>
        <w:t>互动关系</w:t>
      </w:r>
      <w:r>
        <w:rPr>
          <w:rFonts w:ascii="宋体" w:hAnsi="宋体"/>
          <w:sz w:val="21"/>
          <w:szCs w:val="21"/>
        </w:rPr>
        <w:t>；</w:t>
      </w:r>
    </w:p>
    <w:p w14:paraId="3C486F21">
      <w:pPr>
        <w:spacing w:line="400" w:lineRule="exact"/>
        <w:ind w:firstLine="420" w:firstLineChars="200"/>
        <w:rPr>
          <w:rFonts w:ascii="宋体" w:hAnsi="宋体"/>
          <w:sz w:val="21"/>
          <w:szCs w:val="21"/>
        </w:rPr>
      </w:pPr>
      <w:r>
        <w:rPr>
          <w:rFonts w:ascii="宋体" w:hAnsi="宋体"/>
          <w:sz w:val="21"/>
          <w:szCs w:val="21"/>
        </w:rPr>
        <w:t>e)对外部供方绩效的控制和监视；</w:t>
      </w:r>
      <w:r>
        <w:rPr>
          <w:rFonts w:hint="eastAsia" w:ascii="宋体" w:hAnsi="宋体"/>
          <w:sz w:val="21"/>
          <w:szCs w:val="21"/>
        </w:rPr>
        <w:t>需要监视供方的绩效包括：所供产品的报验合格率、合同履约率等，通过统计分析的方法每季度监视一次；</w:t>
      </w:r>
    </w:p>
    <w:p w14:paraId="05F3BDB9">
      <w:pPr>
        <w:spacing w:line="400" w:lineRule="exact"/>
        <w:ind w:firstLine="420" w:firstLineChars="200"/>
        <w:rPr>
          <w:rFonts w:ascii="宋体" w:hAnsi="宋体"/>
          <w:sz w:val="21"/>
          <w:szCs w:val="21"/>
        </w:rPr>
      </w:pPr>
      <w:r>
        <w:rPr>
          <w:rFonts w:ascii="宋体" w:hAnsi="宋体"/>
          <w:sz w:val="21"/>
          <w:szCs w:val="21"/>
        </w:rPr>
        <w:t>f)公司或顾客拟在外部供方现场实施的验证或确认活动</w:t>
      </w:r>
      <w:r>
        <w:rPr>
          <w:rFonts w:hint="eastAsia" w:ascii="宋体" w:hAnsi="宋体"/>
          <w:sz w:val="21"/>
          <w:szCs w:val="21"/>
        </w:rPr>
        <w:t>；</w:t>
      </w:r>
    </w:p>
    <w:p w14:paraId="473207E3">
      <w:pPr>
        <w:spacing w:line="400" w:lineRule="exact"/>
        <w:ind w:firstLine="420" w:firstLineChars="200"/>
        <w:rPr>
          <w:rFonts w:ascii="楷体" w:hAnsi="楷体" w:eastAsia="楷体"/>
          <w:bCs/>
          <w:sz w:val="21"/>
          <w:szCs w:val="21"/>
        </w:rPr>
      </w:pPr>
      <w:r>
        <w:rPr>
          <w:rFonts w:hint="eastAsia" w:ascii="楷体" w:hAnsi="楷体" w:eastAsia="楷体"/>
          <w:bCs/>
          <w:sz w:val="21"/>
          <w:szCs w:val="21"/>
        </w:rPr>
        <w:t>g)在技术协议或合同中，明确外部供方提供产品的功能和性能要求、质量保证要求和保障要求；</w:t>
      </w:r>
    </w:p>
    <w:p w14:paraId="52B11926">
      <w:pPr>
        <w:spacing w:line="400" w:lineRule="exact"/>
        <w:ind w:firstLine="420" w:firstLineChars="200"/>
        <w:rPr>
          <w:rFonts w:ascii="楷体" w:hAnsi="楷体" w:eastAsia="楷体"/>
          <w:bCs/>
          <w:sz w:val="21"/>
          <w:szCs w:val="21"/>
        </w:rPr>
      </w:pPr>
      <w:r>
        <w:rPr>
          <w:rFonts w:hint="eastAsia" w:ascii="楷体" w:hAnsi="楷体" w:eastAsia="楷体"/>
          <w:bCs/>
          <w:sz w:val="21"/>
          <w:szCs w:val="21"/>
        </w:rPr>
        <w:t>h)外部供方需提供产品和服务的技术质量问题及处理结果报告；</w:t>
      </w:r>
    </w:p>
    <w:p w14:paraId="79A4D31C">
      <w:pPr>
        <w:spacing w:line="400" w:lineRule="exact"/>
        <w:ind w:firstLine="420" w:firstLineChars="200"/>
        <w:rPr>
          <w:rFonts w:ascii="楷体" w:hAnsi="楷体" w:eastAsia="楷体"/>
          <w:bCs/>
          <w:sz w:val="21"/>
          <w:szCs w:val="21"/>
        </w:rPr>
      </w:pPr>
      <w:r>
        <w:rPr>
          <w:rFonts w:hint="eastAsia" w:ascii="楷体" w:hAnsi="楷体" w:eastAsia="楷体"/>
          <w:bCs/>
          <w:sz w:val="21"/>
          <w:szCs w:val="21"/>
        </w:rPr>
        <w:t>i)外部供方需提供产品的技术状态变更，其生产线和工艺或设备发生变化的信息；</w:t>
      </w:r>
    </w:p>
    <w:p w14:paraId="64DEE03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j)包含对外部供方生产和保持的成文信息的控制要求；</w:t>
      </w:r>
    </w:p>
    <w:p w14:paraId="71FF9CEB">
      <w:pPr>
        <w:spacing w:line="400" w:lineRule="exact"/>
        <w:ind w:firstLine="420" w:firstLineChars="200"/>
        <w:rPr>
          <w:rFonts w:ascii="宋体" w:hAnsi="宋体"/>
          <w:bCs/>
          <w:sz w:val="21"/>
          <w:szCs w:val="21"/>
        </w:rPr>
      </w:pPr>
      <w:r>
        <w:rPr>
          <w:rFonts w:hint="eastAsia" w:ascii="楷体" w:hAnsi="楷体" w:eastAsia="楷体"/>
          <w:bCs/>
          <w:sz w:val="21"/>
          <w:szCs w:val="21"/>
        </w:rPr>
        <w:t>k)外部供方应提供的其他信息。</w:t>
      </w:r>
    </w:p>
    <w:p w14:paraId="7A6A413D">
      <w:pPr>
        <w:spacing w:line="400" w:lineRule="exact"/>
        <w:ind w:firstLine="420" w:firstLineChars="200"/>
        <w:rPr>
          <w:rFonts w:ascii="宋体" w:hAnsi="宋体"/>
          <w:sz w:val="21"/>
          <w:szCs w:val="21"/>
        </w:rPr>
      </w:pPr>
    </w:p>
    <w:p w14:paraId="11AA90C3">
      <w:pPr>
        <w:pStyle w:val="3"/>
        <w:spacing w:before="120" w:beforeLines="50" w:after="120" w:afterLines="50" w:line="400" w:lineRule="exact"/>
        <w:rPr>
          <w:rFonts w:ascii="宋体" w:hAnsi="宋体" w:eastAsia="宋体"/>
          <w:szCs w:val="28"/>
        </w:rPr>
      </w:pPr>
      <w:bookmarkStart w:id="120" w:name="_Toc509845152"/>
      <w:bookmarkStart w:id="121" w:name="_Toc509844820"/>
      <w:bookmarkStart w:id="122" w:name="_Toc509844130"/>
      <w:bookmarkStart w:id="123" w:name="_Toc521509464"/>
      <w:r>
        <w:rPr>
          <w:rFonts w:hint="eastAsia" w:ascii="宋体" w:hAnsi="宋体" w:eastAsia="宋体"/>
          <w:sz w:val="24"/>
          <w:szCs w:val="24"/>
        </w:rPr>
        <w:t>8.5生产和服务提供</w:t>
      </w:r>
      <w:bookmarkEnd w:id="120"/>
      <w:bookmarkEnd w:id="121"/>
      <w:bookmarkEnd w:id="122"/>
      <w:bookmarkEnd w:id="123"/>
    </w:p>
    <w:p w14:paraId="2091C46D">
      <w:pPr>
        <w:spacing w:line="400" w:lineRule="exact"/>
        <w:rPr>
          <w:rFonts w:ascii="宋体" w:hAnsi="宋体"/>
          <w:sz w:val="21"/>
          <w:szCs w:val="21"/>
        </w:rPr>
      </w:pPr>
      <w:r>
        <w:rPr>
          <w:rFonts w:ascii="宋体" w:hAnsi="宋体"/>
          <w:sz w:val="21"/>
          <w:szCs w:val="21"/>
        </w:rPr>
        <w:t xml:space="preserve">8.5.1 </w:t>
      </w:r>
      <w:r>
        <w:rPr>
          <w:rFonts w:hint="eastAsia" w:ascii="宋体" w:hAnsi="宋体"/>
          <w:sz w:val="21"/>
          <w:szCs w:val="21"/>
        </w:rPr>
        <w:t>生产和服务提供的控制</w:t>
      </w:r>
    </w:p>
    <w:p w14:paraId="3E535DCE">
      <w:pPr>
        <w:spacing w:line="400" w:lineRule="exact"/>
        <w:ind w:firstLine="420" w:firstLineChars="200"/>
        <w:rPr>
          <w:rFonts w:ascii="宋体" w:hAnsi="宋体"/>
          <w:sz w:val="21"/>
          <w:szCs w:val="21"/>
        </w:rPr>
      </w:pPr>
      <w:r>
        <w:rPr>
          <w:rFonts w:hint="eastAsia" w:ascii="宋体" w:hAnsi="宋体"/>
          <w:sz w:val="21"/>
          <w:szCs w:val="21"/>
        </w:rPr>
        <w:t>公司策划并在受控条件下进行生产和服务提供，由生产运维部主管，其他职能部门配合。</w:t>
      </w:r>
    </w:p>
    <w:p w14:paraId="0EF4F56F">
      <w:pPr>
        <w:spacing w:line="400" w:lineRule="exact"/>
        <w:ind w:firstLine="420" w:firstLineChars="200"/>
        <w:rPr>
          <w:rFonts w:ascii="宋体" w:hAnsi="宋体"/>
          <w:sz w:val="21"/>
          <w:szCs w:val="21"/>
        </w:rPr>
      </w:pPr>
      <w:r>
        <w:rPr>
          <w:rFonts w:hint="eastAsia" w:ascii="宋体" w:hAnsi="宋体"/>
          <w:sz w:val="21"/>
          <w:szCs w:val="21"/>
        </w:rPr>
        <w:t>适用时，受控条件包括：</w:t>
      </w:r>
      <w:r>
        <w:rPr>
          <w:rFonts w:ascii="宋体" w:hAnsi="宋体"/>
          <w:sz w:val="21"/>
          <w:szCs w:val="21"/>
        </w:rPr>
        <w:t xml:space="preserve"> </w:t>
      </w:r>
    </w:p>
    <w:p w14:paraId="60D0D11A">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）确保获得规定产品和服务特性的信息，包括软件刻录计划、软件名称及版本标识等：</w:t>
      </w:r>
    </w:p>
    <w:p w14:paraId="760B7733">
      <w:pPr>
        <w:spacing w:line="400" w:lineRule="exact"/>
        <w:ind w:firstLine="420" w:firstLineChars="200"/>
        <w:rPr>
          <w:rFonts w:ascii="宋体" w:hAnsi="宋体"/>
          <w:sz w:val="21"/>
          <w:szCs w:val="21"/>
        </w:rPr>
      </w:pPr>
      <w:r>
        <w:rPr>
          <w:rFonts w:hint="eastAsia" w:ascii="宋体" w:hAnsi="宋体"/>
          <w:sz w:val="21"/>
          <w:szCs w:val="21"/>
        </w:rPr>
        <w:t>(a)获得规定产品和服务特性的形成文件的信息（如：软件合同、软件研制任务书、软件交付要求等）；</w:t>
      </w:r>
    </w:p>
    <w:p w14:paraId="594FF203">
      <w:pPr>
        <w:spacing w:line="400" w:lineRule="exact"/>
        <w:ind w:firstLine="420" w:firstLineChars="200"/>
        <w:rPr>
          <w:rFonts w:ascii="宋体" w:hAnsi="宋体"/>
          <w:sz w:val="21"/>
          <w:szCs w:val="21"/>
        </w:rPr>
      </w:pPr>
      <w:r>
        <w:rPr>
          <w:rFonts w:hint="eastAsia" w:ascii="宋体" w:hAnsi="宋体"/>
          <w:sz w:val="21"/>
          <w:szCs w:val="21"/>
        </w:rPr>
        <w:t>(b)获得规定要完成的活动和期望实现的结果的形成文件的信息（如，软件刻录流程单等）。</w:t>
      </w:r>
    </w:p>
    <w:p w14:paraId="12D1AE63">
      <w:pPr>
        <w:spacing w:line="400" w:lineRule="exact"/>
        <w:ind w:firstLine="420" w:firstLineChars="200"/>
        <w:rPr>
          <w:rFonts w:ascii="宋体" w:hAnsi="宋体"/>
          <w:sz w:val="21"/>
          <w:szCs w:val="21"/>
        </w:rPr>
      </w:pPr>
      <w:r>
        <w:rPr>
          <w:rFonts w:hint="eastAsia" w:ascii="宋体" w:hAnsi="宋体"/>
          <w:sz w:val="21"/>
          <w:szCs w:val="21"/>
        </w:rPr>
        <w:t>b)</w:t>
      </w:r>
      <w:r>
        <w:rPr>
          <w:rFonts w:hint="eastAsia" w:ascii="宋体" w:hAnsi="宋体"/>
        </w:rPr>
        <w:t xml:space="preserve"> </w:t>
      </w:r>
      <w:r>
        <w:rPr>
          <w:rFonts w:hint="eastAsia" w:ascii="宋体" w:hAnsi="宋体"/>
          <w:sz w:val="21"/>
          <w:szCs w:val="21"/>
        </w:rPr>
        <w:t>合理安排和使用软件测量工具及项目所需的监视和测量的设备（如：软件测试计算机、各种软件代码检查工具、评价方法等）；</w:t>
      </w:r>
    </w:p>
    <w:p w14:paraId="77E62685">
      <w:pPr>
        <w:spacing w:line="400" w:lineRule="exact"/>
        <w:ind w:firstLine="420" w:firstLineChars="200"/>
        <w:rPr>
          <w:rFonts w:ascii="宋体" w:hAnsi="宋体"/>
          <w:sz w:val="21"/>
          <w:szCs w:val="21"/>
        </w:rPr>
      </w:pPr>
      <w:r>
        <w:rPr>
          <w:rFonts w:hint="eastAsia" w:ascii="宋体" w:hAnsi="宋体"/>
          <w:sz w:val="21"/>
          <w:szCs w:val="21"/>
        </w:rPr>
        <w:t xml:space="preserve">c)在适当阶段实施监视和测量活动以验证过程控制准则、过程输出、产品和服务的接收准则均已满足； </w:t>
      </w:r>
    </w:p>
    <w:p w14:paraId="0694A394">
      <w:pPr>
        <w:spacing w:line="400" w:lineRule="exact"/>
        <w:ind w:firstLine="420" w:firstLineChars="200"/>
        <w:rPr>
          <w:rFonts w:ascii="宋体" w:hAnsi="宋体"/>
          <w:sz w:val="21"/>
          <w:szCs w:val="21"/>
        </w:rPr>
      </w:pPr>
      <w:r>
        <w:rPr>
          <w:rFonts w:hint="eastAsia" w:ascii="宋体" w:hAnsi="宋体"/>
          <w:sz w:val="21"/>
          <w:szCs w:val="21"/>
        </w:rPr>
        <w:t>d) 使用适宜软件设计及项目操作的计算机设备，定期进行设备分级维护和保养，并进行定置管理，保持适宜的生产和办公环境；</w:t>
      </w:r>
    </w:p>
    <w:p w14:paraId="34F08048">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)根据过程运行配备所需资质和胜任的软件测试、软件刻录操作人员等，以满足要求；</w:t>
      </w:r>
    </w:p>
    <w:p w14:paraId="62601CA7">
      <w:pPr>
        <w:spacing w:line="400" w:lineRule="exact"/>
        <w:ind w:firstLine="420" w:firstLineChars="200"/>
        <w:rPr>
          <w:rFonts w:ascii="宋体" w:hAnsi="宋体"/>
          <w:sz w:val="21"/>
          <w:szCs w:val="21"/>
        </w:rPr>
      </w:pPr>
      <w:r>
        <w:rPr>
          <w:rFonts w:hint="eastAsia" w:ascii="宋体" w:hAnsi="宋体"/>
          <w:sz w:val="21"/>
          <w:szCs w:val="21"/>
        </w:rPr>
        <w:t>f)生产和服务提供过程中，产生的输出不能由后续的监视或测量加以验证时，对该过程实现所策划结果的能力进行确认和定期的再确认。软件产品的过程结果均可通过对过程测试的结果进行证实，故不存在需要确认的过程。</w:t>
      </w:r>
    </w:p>
    <w:p w14:paraId="0E0DEC76">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)采取防差错设计等措施防止人为错误；</w:t>
      </w:r>
      <w:r>
        <w:rPr>
          <w:rFonts w:ascii="宋体" w:hAnsi="宋体"/>
          <w:sz w:val="21"/>
          <w:szCs w:val="21"/>
        </w:rPr>
        <w:t xml:space="preserve"> </w:t>
      </w:r>
    </w:p>
    <w:p w14:paraId="1290C767">
      <w:pPr>
        <w:spacing w:line="400" w:lineRule="exact"/>
        <w:ind w:firstLine="420" w:firstLineChars="200"/>
        <w:rPr>
          <w:rFonts w:ascii="宋体" w:hAnsi="宋体"/>
          <w:sz w:val="21"/>
          <w:szCs w:val="21"/>
        </w:rPr>
      </w:pPr>
      <w:r>
        <w:rPr>
          <w:rFonts w:ascii="宋体" w:hAnsi="宋体"/>
          <w:sz w:val="21"/>
          <w:szCs w:val="21"/>
        </w:rPr>
        <w:t>h</w:t>
      </w:r>
      <w:r>
        <w:rPr>
          <w:rFonts w:hint="eastAsia" w:ascii="宋体" w:hAnsi="宋体"/>
          <w:sz w:val="21"/>
          <w:szCs w:val="21"/>
        </w:rPr>
        <w:t>)实施产品和服务的放行、交付和交付后活动（如产品使用培训/技术交底、产品质保期内的维修服务、产品运行故障排除等）；</w:t>
      </w:r>
    </w:p>
    <w:p w14:paraId="50EEB6A7">
      <w:pPr>
        <w:spacing w:line="400" w:lineRule="exact"/>
        <w:ind w:firstLine="420" w:firstLineChars="200"/>
        <w:rPr>
          <w:rFonts w:ascii="楷体" w:hAnsi="楷体" w:eastAsia="楷体"/>
          <w:bCs/>
          <w:sz w:val="21"/>
          <w:szCs w:val="21"/>
        </w:rPr>
      </w:pPr>
      <w:r>
        <w:rPr>
          <w:rFonts w:ascii="楷体" w:hAnsi="楷体" w:eastAsia="楷体"/>
          <w:bCs/>
          <w:sz w:val="21"/>
          <w:szCs w:val="21"/>
        </w:rPr>
        <w:t>i</w:t>
      </w:r>
      <w:r>
        <w:rPr>
          <w:rFonts w:hint="eastAsia" w:ascii="楷体" w:hAnsi="楷体" w:eastAsia="楷体"/>
          <w:bCs/>
          <w:sz w:val="21"/>
          <w:szCs w:val="21"/>
        </w:rPr>
        <w:t>)实施数字化制造过程的控制措施，如：信息格式、数据接口、电子签名、版本控制等；</w:t>
      </w:r>
      <w:r>
        <w:rPr>
          <w:rFonts w:ascii="楷体" w:hAnsi="楷体" w:eastAsia="楷体"/>
          <w:bCs/>
          <w:sz w:val="21"/>
          <w:szCs w:val="21"/>
        </w:rPr>
        <w:t xml:space="preserve"> </w:t>
      </w:r>
    </w:p>
    <w:p w14:paraId="371A18AC">
      <w:pPr>
        <w:spacing w:line="400" w:lineRule="exact"/>
        <w:ind w:firstLine="420" w:firstLineChars="200"/>
        <w:rPr>
          <w:rFonts w:ascii="楷体" w:hAnsi="楷体" w:eastAsia="楷体"/>
          <w:bCs/>
          <w:sz w:val="21"/>
          <w:szCs w:val="21"/>
        </w:rPr>
      </w:pPr>
      <w:r>
        <w:rPr>
          <w:rFonts w:ascii="楷体" w:hAnsi="楷体" w:eastAsia="楷体"/>
          <w:bCs/>
          <w:sz w:val="21"/>
          <w:szCs w:val="21"/>
        </w:rPr>
        <w:t>j</w:t>
      </w:r>
      <w:r>
        <w:rPr>
          <w:rFonts w:hint="eastAsia" w:ascii="楷体" w:hAnsi="楷体" w:eastAsia="楷体"/>
          <w:bCs/>
          <w:sz w:val="21"/>
          <w:szCs w:val="21"/>
        </w:rPr>
        <w:t>)获得适宜的原材料（光盘、移动硬盘及储存卡等）和辅助材料（标签贴）；</w:t>
      </w:r>
      <w:r>
        <w:rPr>
          <w:rFonts w:ascii="楷体" w:hAnsi="楷体" w:eastAsia="楷体"/>
          <w:bCs/>
          <w:sz w:val="21"/>
          <w:szCs w:val="21"/>
        </w:rPr>
        <w:t xml:space="preserve"> </w:t>
      </w:r>
    </w:p>
    <w:p w14:paraId="5F0B129F">
      <w:pPr>
        <w:spacing w:line="400" w:lineRule="exact"/>
        <w:ind w:firstLine="420" w:firstLineChars="200"/>
        <w:rPr>
          <w:rFonts w:ascii="楷体" w:hAnsi="楷体" w:eastAsia="楷体"/>
          <w:bCs/>
          <w:sz w:val="21"/>
          <w:szCs w:val="21"/>
        </w:rPr>
      </w:pPr>
      <w:r>
        <w:rPr>
          <w:rFonts w:ascii="楷体" w:hAnsi="楷体" w:eastAsia="楷体"/>
          <w:bCs/>
          <w:sz w:val="21"/>
          <w:szCs w:val="21"/>
        </w:rPr>
        <w:t>k</w:t>
      </w:r>
      <w:r>
        <w:rPr>
          <w:rFonts w:hint="eastAsia" w:ascii="楷体" w:hAnsi="楷体" w:eastAsia="楷体"/>
          <w:bCs/>
          <w:sz w:val="21"/>
          <w:szCs w:val="21"/>
        </w:rPr>
        <w:t>)确认和审批生产和服务使用的计算机软件（如加载的运行软件）；</w:t>
      </w:r>
      <w:r>
        <w:rPr>
          <w:rFonts w:ascii="楷体" w:hAnsi="楷体" w:eastAsia="楷体"/>
          <w:bCs/>
          <w:sz w:val="21"/>
          <w:szCs w:val="21"/>
        </w:rPr>
        <w:t xml:space="preserve"> </w:t>
      </w:r>
    </w:p>
    <w:p w14:paraId="74FDD23F">
      <w:pPr>
        <w:spacing w:line="400" w:lineRule="exact"/>
        <w:ind w:firstLine="420" w:firstLineChars="200"/>
        <w:rPr>
          <w:rFonts w:ascii="楷体" w:hAnsi="楷体" w:eastAsia="楷体"/>
          <w:bCs/>
          <w:sz w:val="21"/>
          <w:szCs w:val="21"/>
        </w:rPr>
      </w:pPr>
      <w:r>
        <w:rPr>
          <w:rFonts w:ascii="楷体" w:hAnsi="楷体" w:eastAsia="楷体"/>
          <w:bCs/>
          <w:sz w:val="21"/>
          <w:szCs w:val="21"/>
        </w:rPr>
        <w:t>l</w:t>
      </w:r>
      <w:r>
        <w:rPr>
          <w:rFonts w:hint="eastAsia" w:ascii="楷体" w:hAnsi="楷体" w:eastAsia="楷体"/>
          <w:bCs/>
          <w:sz w:val="21"/>
          <w:szCs w:val="21"/>
        </w:rPr>
        <w:t>)控制温度、湿度、清洁度、静电防护等环境条件（软件三库的控制要求）；</w:t>
      </w:r>
      <w:r>
        <w:rPr>
          <w:rFonts w:ascii="楷体" w:hAnsi="楷体" w:eastAsia="楷体"/>
          <w:bCs/>
          <w:sz w:val="21"/>
          <w:szCs w:val="21"/>
        </w:rPr>
        <w:t xml:space="preserve"> </w:t>
      </w:r>
    </w:p>
    <w:p w14:paraId="34950834">
      <w:pPr>
        <w:spacing w:line="400" w:lineRule="exact"/>
        <w:ind w:firstLine="420" w:firstLineChars="200"/>
        <w:rPr>
          <w:rFonts w:ascii="楷体" w:hAnsi="楷体" w:eastAsia="楷体"/>
          <w:bCs/>
          <w:sz w:val="21"/>
          <w:szCs w:val="21"/>
        </w:rPr>
      </w:pPr>
      <w:r>
        <w:rPr>
          <w:rFonts w:ascii="楷体" w:hAnsi="楷体" w:eastAsia="楷体"/>
          <w:bCs/>
          <w:sz w:val="21"/>
          <w:szCs w:val="21"/>
        </w:rPr>
        <w:t>m</w:t>
      </w:r>
      <w:r>
        <w:rPr>
          <w:rFonts w:hint="eastAsia" w:ascii="楷体" w:hAnsi="楷体" w:eastAsia="楷体"/>
          <w:bCs/>
          <w:sz w:val="21"/>
          <w:szCs w:val="21"/>
        </w:rPr>
        <w:t>)关于预防、探测和排除多余物的规定；</w:t>
      </w:r>
      <w:r>
        <w:rPr>
          <w:rFonts w:ascii="楷体" w:hAnsi="楷体" w:eastAsia="楷体"/>
          <w:bCs/>
          <w:sz w:val="21"/>
          <w:szCs w:val="21"/>
        </w:rPr>
        <w:t xml:space="preserve"> </w:t>
      </w:r>
    </w:p>
    <w:p w14:paraId="307F5C9F">
      <w:pPr>
        <w:spacing w:line="400" w:lineRule="exact"/>
        <w:ind w:firstLine="420" w:firstLineChars="200"/>
        <w:rPr>
          <w:rFonts w:ascii="楷体" w:hAnsi="楷体" w:eastAsia="楷体"/>
          <w:bCs/>
          <w:sz w:val="21"/>
          <w:szCs w:val="21"/>
        </w:rPr>
      </w:pPr>
      <w:r>
        <w:rPr>
          <w:rFonts w:ascii="楷体" w:hAnsi="楷体" w:eastAsia="楷体"/>
          <w:bCs/>
          <w:sz w:val="21"/>
          <w:szCs w:val="21"/>
        </w:rPr>
        <w:t>n</w:t>
      </w:r>
      <w:r>
        <w:rPr>
          <w:rFonts w:hint="eastAsia" w:ascii="楷体" w:hAnsi="楷体" w:eastAsia="楷体"/>
          <w:bCs/>
          <w:sz w:val="21"/>
          <w:szCs w:val="21"/>
        </w:rPr>
        <w:t>)以清楚实用的方式（如标准、样件或图纸、作业指导书等）规定技艺评定准则；</w:t>
      </w:r>
      <w:r>
        <w:rPr>
          <w:rFonts w:ascii="楷体" w:hAnsi="楷体" w:eastAsia="楷体"/>
          <w:bCs/>
          <w:sz w:val="21"/>
          <w:szCs w:val="21"/>
        </w:rPr>
        <w:t xml:space="preserve"> </w:t>
      </w:r>
    </w:p>
    <w:p w14:paraId="6F41D8CA">
      <w:pPr>
        <w:spacing w:line="400" w:lineRule="exact"/>
        <w:ind w:firstLine="420" w:firstLineChars="200"/>
        <w:rPr>
          <w:rFonts w:ascii="楷体" w:hAnsi="楷体" w:eastAsia="楷体"/>
          <w:bCs/>
          <w:sz w:val="21"/>
          <w:szCs w:val="21"/>
        </w:rPr>
      </w:pPr>
      <w:r>
        <w:rPr>
          <w:rFonts w:ascii="楷体" w:hAnsi="楷体" w:eastAsia="楷体"/>
          <w:bCs/>
          <w:sz w:val="21"/>
          <w:szCs w:val="21"/>
        </w:rPr>
        <w:t>o</w:t>
      </w:r>
      <w:r>
        <w:rPr>
          <w:rFonts w:hint="eastAsia" w:ascii="楷体" w:hAnsi="楷体" w:eastAsia="楷体"/>
          <w:bCs/>
          <w:sz w:val="21"/>
          <w:szCs w:val="21"/>
        </w:rPr>
        <w:t>)对首件产品进行自检和专检，并对首件作出标记，保留实测信息；</w:t>
      </w:r>
      <w:r>
        <w:rPr>
          <w:rFonts w:ascii="楷体" w:hAnsi="楷体" w:eastAsia="楷体"/>
          <w:bCs/>
          <w:sz w:val="21"/>
          <w:szCs w:val="21"/>
        </w:rPr>
        <w:t xml:space="preserve"> </w:t>
      </w:r>
    </w:p>
    <w:p w14:paraId="680FC22F">
      <w:pPr>
        <w:spacing w:line="400" w:lineRule="exact"/>
        <w:ind w:firstLine="420" w:firstLineChars="200"/>
        <w:rPr>
          <w:rFonts w:ascii="宋体" w:hAnsi="宋体"/>
          <w:sz w:val="21"/>
          <w:szCs w:val="21"/>
        </w:rPr>
      </w:pPr>
      <w:r>
        <w:rPr>
          <w:rFonts w:ascii="楷体" w:hAnsi="楷体" w:eastAsia="楷体"/>
          <w:bCs/>
          <w:sz w:val="21"/>
          <w:szCs w:val="21"/>
        </w:rPr>
        <w:t>p</w:t>
      </w:r>
      <w:r>
        <w:rPr>
          <w:rFonts w:hint="eastAsia" w:ascii="楷体" w:hAnsi="楷体" w:eastAsia="楷体"/>
          <w:bCs/>
          <w:sz w:val="21"/>
          <w:szCs w:val="21"/>
        </w:rPr>
        <w:t>)代用器材经审批方可使用，影响关键或重要特性的器材代用须征得顾客同意。</w:t>
      </w:r>
    </w:p>
    <w:p w14:paraId="33BBA991">
      <w:pPr>
        <w:spacing w:line="400" w:lineRule="exact"/>
        <w:rPr>
          <w:rFonts w:ascii="宋体" w:hAnsi="宋体"/>
          <w:sz w:val="21"/>
          <w:szCs w:val="21"/>
        </w:rPr>
      </w:pPr>
      <w:r>
        <w:rPr>
          <w:rFonts w:ascii="宋体" w:hAnsi="宋体"/>
          <w:sz w:val="21"/>
          <w:szCs w:val="21"/>
        </w:rPr>
        <w:t xml:space="preserve">8.5.2 </w:t>
      </w:r>
      <w:r>
        <w:rPr>
          <w:rFonts w:hint="eastAsia" w:ascii="宋体" w:hAnsi="宋体"/>
          <w:sz w:val="21"/>
          <w:szCs w:val="21"/>
        </w:rPr>
        <w:t>标识和可追溯性</w:t>
      </w:r>
    </w:p>
    <w:p w14:paraId="4FD167DB">
      <w:pPr>
        <w:spacing w:line="400" w:lineRule="exact"/>
        <w:ind w:firstLine="420" w:firstLineChars="200"/>
        <w:rPr>
          <w:rFonts w:ascii="宋体" w:hAnsi="宋体"/>
          <w:sz w:val="21"/>
          <w:szCs w:val="21"/>
        </w:rPr>
      </w:pPr>
      <w:r>
        <w:rPr>
          <w:rFonts w:hint="eastAsia" w:ascii="宋体" w:hAnsi="宋体"/>
          <w:sz w:val="21"/>
          <w:szCs w:val="21"/>
        </w:rPr>
        <w:t>在产品和服务实现全过程中，进行标识，以防止产品及其状态之间的混淆和误用，并具有追溯性。公司应在生产和服务提供的整个过程中按照监视和测量要求识别输出状态。</w:t>
      </w:r>
    </w:p>
    <w:p w14:paraId="7A9F9FFA">
      <w:pPr>
        <w:spacing w:line="400" w:lineRule="exact"/>
        <w:ind w:firstLine="420" w:firstLineChars="200"/>
        <w:rPr>
          <w:rFonts w:ascii="宋体" w:hAnsi="宋体"/>
          <w:sz w:val="21"/>
          <w:szCs w:val="21"/>
        </w:rPr>
      </w:pPr>
      <w:r>
        <w:rPr>
          <w:rFonts w:hint="eastAsia" w:ascii="宋体" w:hAnsi="宋体"/>
          <w:sz w:val="21"/>
          <w:szCs w:val="21"/>
        </w:rPr>
        <w:t>公司研发部按配置管理的相关规定对软件的生存周期（开发、测试、交付）全过程的软件项目进行标识和可追溯性管理。</w:t>
      </w:r>
    </w:p>
    <w:p w14:paraId="1787182B">
      <w:pPr>
        <w:numPr>
          <w:ilvl w:val="0"/>
          <w:numId w:val="3"/>
        </w:numPr>
        <w:spacing w:line="400" w:lineRule="exact"/>
        <w:ind w:left="0" w:firstLine="573"/>
        <w:rPr>
          <w:sz w:val="21"/>
          <w:szCs w:val="21"/>
        </w:rPr>
      </w:pPr>
      <w:r>
        <w:rPr>
          <w:rFonts w:hint="eastAsia"/>
          <w:sz w:val="21"/>
          <w:szCs w:val="21"/>
        </w:rPr>
        <w:t>研发部根据合同、顾客需求或产品需求，在建立</w:t>
      </w:r>
      <w:r>
        <w:rPr>
          <w:sz w:val="21"/>
          <w:szCs w:val="21"/>
        </w:rPr>
        <w:t>的</w:t>
      </w:r>
      <w:r>
        <w:rPr>
          <w:rFonts w:hint="eastAsia"/>
          <w:sz w:val="21"/>
          <w:szCs w:val="21"/>
        </w:rPr>
        <w:t>基线中，确定和标识可追溯性需求、模块、接口、用例等；</w:t>
      </w:r>
    </w:p>
    <w:p w14:paraId="4477F4EE">
      <w:pPr>
        <w:numPr>
          <w:ilvl w:val="0"/>
          <w:numId w:val="3"/>
        </w:numPr>
        <w:spacing w:line="400" w:lineRule="exact"/>
        <w:ind w:left="0" w:firstLine="573"/>
        <w:rPr>
          <w:sz w:val="21"/>
          <w:szCs w:val="21"/>
        </w:rPr>
      </w:pPr>
      <w:r>
        <w:rPr>
          <w:rFonts w:hint="eastAsia"/>
          <w:sz w:val="21"/>
          <w:szCs w:val="21"/>
        </w:rPr>
        <w:t>质量管理部对产品的测试状态进行标识，做出测试合格、不合格（包括存在缺陷、故障和失效等问题）、待测试、废品等标识；</w:t>
      </w:r>
    </w:p>
    <w:p w14:paraId="21D7CD2B">
      <w:pPr>
        <w:spacing w:line="400" w:lineRule="exact"/>
        <w:ind w:firstLine="420" w:firstLineChars="200"/>
        <w:rPr>
          <w:sz w:val="21"/>
          <w:szCs w:val="21"/>
        </w:rPr>
      </w:pPr>
      <w:r>
        <w:rPr>
          <w:rFonts w:hint="eastAsia"/>
          <w:sz w:val="21"/>
          <w:szCs w:val="21"/>
        </w:rPr>
        <w:t>为</w:t>
      </w:r>
      <w:r>
        <w:rPr>
          <w:sz w:val="21"/>
          <w:szCs w:val="21"/>
        </w:rPr>
        <w:t>保障</w:t>
      </w:r>
      <w:r>
        <w:rPr>
          <w:rFonts w:hint="eastAsia"/>
          <w:sz w:val="21"/>
          <w:szCs w:val="21"/>
        </w:rPr>
        <w:t>可追溯性，</w:t>
      </w:r>
      <w:r>
        <w:rPr>
          <w:sz w:val="21"/>
          <w:szCs w:val="21"/>
        </w:rPr>
        <w:t>公司要求：</w:t>
      </w:r>
    </w:p>
    <w:p w14:paraId="5E0C6108">
      <w:pPr>
        <w:numPr>
          <w:ilvl w:val="0"/>
          <w:numId w:val="4"/>
        </w:numPr>
        <w:spacing w:line="400" w:lineRule="exact"/>
        <w:ind w:left="0" w:firstLine="567"/>
        <w:rPr>
          <w:sz w:val="21"/>
          <w:szCs w:val="21"/>
        </w:rPr>
      </w:pPr>
      <w:r>
        <w:rPr>
          <w:rFonts w:hint="eastAsia"/>
          <w:sz w:val="21"/>
          <w:szCs w:val="21"/>
        </w:rPr>
        <w:t>确定和标识唯一的</w:t>
      </w:r>
      <w:r>
        <w:rPr>
          <w:sz w:val="21"/>
          <w:szCs w:val="21"/>
        </w:rPr>
        <w:t>项目</w:t>
      </w:r>
      <w:r>
        <w:rPr>
          <w:rFonts w:hint="eastAsia"/>
          <w:sz w:val="21"/>
          <w:szCs w:val="21"/>
        </w:rPr>
        <w:t>编号，在策划、实现、测试和交付文档、测试记录和产品交付</w:t>
      </w:r>
      <w:r>
        <w:rPr>
          <w:sz w:val="21"/>
          <w:szCs w:val="21"/>
        </w:rPr>
        <w:t>单</w:t>
      </w:r>
      <w:r>
        <w:rPr>
          <w:rFonts w:hint="eastAsia"/>
          <w:sz w:val="21"/>
          <w:szCs w:val="21"/>
        </w:rPr>
        <w:t>等质量文件中必须登记填写清楚；</w:t>
      </w:r>
    </w:p>
    <w:p w14:paraId="5FC3767F">
      <w:pPr>
        <w:spacing w:line="400" w:lineRule="exact"/>
        <w:ind w:firstLine="525" w:firstLineChars="250"/>
        <w:rPr>
          <w:rFonts w:ascii="宋体" w:hAnsi="宋体"/>
          <w:sz w:val="21"/>
          <w:szCs w:val="21"/>
        </w:rPr>
      </w:pPr>
      <w:r>
        <w:rPr>
          <w:rFonts w:hint="eastAsia"/>
          <w:sz w:val="21"/>
          <w:szCs w:val="21"/>
        </w:rPr>
        <w:t>b)  当有追溯要求时，应从质量记录中依据</w:t>
      </w:r>
      <w:r>
        <w:rPr>
          <w:sz w:val="21"/>
          <w:szCs w:val="21"/>
        </w:rPr>
        <w:t>项目</w:t>
      </w:r>
      <w:r>
        <w:rPr>
          <w:rFonts w:hint="eastAsia"/>
          <w:sz w:val="21"/>
          <w:szCs w:val="21"/>
        </w:rPr>
        <w:t>编号进行追溯。</w:t>
      </w:r>
    </w:p>
    <w:p w14:paraId="5776F4D8">
      <w:pPr>
        <w:spacing w:line="400" w:lineRule="exact"/>
        <w:ind w:firstLine="420" w:firstLineChars="200"/>
        <w:rPr>
          <w:rFonts w:ascii="宋体" w:hAnsi="宋体"/>
          <w:sz w:val="21"/>
          <w:szCs w:val="21"/>
        </w:rPr>
      </w:pPr>
      <w:r>
        <w:rPr>
          <w:rFonts w:hint="eastAsia" w:ascii="宋体" w:hAnsi="宋体"/>
          <w:sz w:val="21"/>
          <w:szCs w:val="21"/>
        </w:rPr>
        <w:t>公司产品状态、可追溯性的标识的方法和载体：</w:t>
      </w:r>
    </w:p>
    <w:p w14:paraId="5035C6D5">
      <w:pPr>
        <w:spacing w:line="400" w:lineRule="exact"/>
        <w:ind w:firstLine="420" w:firstLineChars="200"/>
        <w:rPr>
          <w:rFonts w:ascii="宋体" w:hAnsi="宋体"/>
          <w:sz w:val="21"/>
          <w:szCs w:val="21"/>
        </w:rPr>
      </w:pPr>
      <w:r>
        <w:rPr>
          <w:rFonts w:hint="eastAsia" w:ascii="宋体" w:hAnsi="宋体"/>
          <w:sz w:val="21"/>
          <w:szCs w:val="21"/>
        </w:rPr>
        <w:t>合同、任务书、文件、测试记录及合格证以及配置标识、版本号等；</w:t>
      </w:r>
    </w:p>
    <w:p w14:paraId="69208510">
      <w:pPr>
        <w:spacing w:line="400" w:lineRule="exact"/>
        <w:ind w:firstLine="420" w:firstLineChars="200"/>
        <w:rPr>
          <w:rFonts w:ascii="宋体" w:hAnsi="宋体"/>
          <w:bCs/>
          <w:sz w:val="21"/>
          <w:szCs w:val="21"/>
        </w:rPr>
      </w:pPr>
      <w:r>
        <w:rPr>
          <w:rFonts w:hint="eastAsia" w:ascii="楷体" w:hAnsi="楷体" w:eastAsia="楷体"/>
          <w:bCs/>
          <w:sz w:val="21"/>
          <w:szCs w:val="21"/>
        </w:rPr>
        <w:t>能追溯产品交付前的情况和交付后的分布、场所；做到产品批次清、质量状况清、原始记录清、数量清。</w:t>
      </w:r>
    </w:p>
    <w:p w14:paraId="0A89C2A5">
      <w:pPr>
        <w:spacing w:line="400" w:lineRule="exact"/>
        <w:rPr>
          <w:rFonts w:ascii="宋体" w:hAnsi="宋体"/>
          <w:bCs/>
          <w:color w:val="000000"/>
          <w:sz w:val="21"/>
          <w:szCs w:val="21"/>
        </w:rPr>
      </w:pPr>
      <w:r>
        <w:rPr>
          <w:rFonts w:ascii="宋体" w:hAnsi="宋体"/>
          <w:bCs/>
          <w:color w:val="000000"/>
          <w:sz w:val="21"/>
          <w:szCs w:val="21"/>
        </w:rPr>
        <w:t xml:space="preserve">8.5.3 </w:t>
      </w:r>
      <w:r>
        <w:rPr>
          <w:rFonts w:hint="eastAsia" w:ascii="宋体" w:hAnsi="宋体"/>
          <w:bCs/>
          <w:color w:val="000000"/>
          <w:sz w:val="21"/>
          <w:szCs w:val="21"/>
        </w:rPr>
        <w:t>顾客或外部供方的财产</w:t>
      </w:r>
    </w:p>
    <w:p w14:paraId="3060D1A2">
      <w:pPr>
        <w:spacing w:line="400" w:lineRule="exact"/>
        <w:ind w:firstLine="420" w:firstLineChars="200"/>
        <w:rPr>
          <w:rFonts w:ascii="宋体" w:hAnsi="宋体"/>
          <w:sz w:val="21"/>
          <w:szCs w:val="21"/>
        </w:rPr>
      </w:pPr>
      <w:r>
        <w:rPr>
          <w:rFonts w:hint="eastAsia" w:ascii="宋体" w:hAnsi="宋体"/>
          <w:color w:val="000000"/>
          <w:sz w:val="21"/>
          <w:szCs w:val="21"/>
        </w:rPr>
        <w:t>公司对于公司控制下的知识产权和信息、实物属于顾客</w:t>
      </w:r>
      <w:r>
        <w:rPr>
          <w:rFonts w:hint="eastAsia" w:ascii="宋体" w:hAnsi="宋体"/>
          <w:sz w:val="21"/>
          <w:szCs w:val="21"/>
        </w:rPr>
        <w:t>或外部供方的财产，加以控制和保护。</w:t>
      </w:r>
    </w:p>
    <w:p w14:paraId="66F40457">
      <w:pPr>
        <w:spacing w:line="400" w:lineRule="exact"/>
        <w:ind w:firstLine="420" w:firstLineChars="200"/>
        <w:rPr>
          <w:rFonts w:ascii="宋体" w:hAnsi="宋体"/>
          <w:sz w:val="21"/>
          <w:szCs w:val="21"/>
        </w:rPr>
      </w:pPr>
      <w:r>
        <w:rPr>
          <w:rFonts w:ascii="宋体" w:hAnsi="宋体"/>
          <w:color w:val="000000"/>
          <w:sz w:val="21"/>
          <w:szCs w:val="21"/>
        </w:rPr>
        <w:t>顾客</w:t>
      </w:r>
      <w:r>
        <w:rPr>
          <w:rFonts w:hint="eastAsia" w:ascii="宋体" w:hAnsi="宋体"/>
          <w:color w:val="000000"/>
          <w:sz w:val="21"/>
          <w:szCs w:val="21"/>
        </w:rPr>
        <w:t>或</w:t>
      </w:r>
      <w:r>
        <w:rPr>
          <w:rFonts w:ascii="宋体" w:hAnsi="宋体"/>
          <w:color w:val="000000"/>
          <w:sz w:val="21"/>
          <w:szCs w:val="21"/>
        </w:rPr>
        <w:t>外部供方的财产</w:t>
      </w:r>
      <w:r>
        <w:rPr>
          <w:rFonts w:hint="eastAsia" w:ascii="宋体" w:hAnsi="宋体"/>
          <w:color w:val="000000"/>
          <w:sz w:val="21"/>
          <w:szCs w:val="21"/>
        </w:rPr>
        <w:t>主要包括软件产品、用于维修、维护或升级的产品、软件开发环境、各种数据、接口或其它规格</w:t>
      </w:r>
      <w:r>
        <w:rPr>
          <w:rFonts w:hint="eastAsia" w:ascii="宋体" w:hAnsi="宋体"/>
          <w:sz w:val="21"/>
          <w:szCs w:val="21"/>
        </w:rPr>
        <w:t>等。</w:t>
      </w:r>
    </w:p>
    <w:p w14:paraId="418E867F">
      <w:pPr>
        <w:spacing w:line="400" w:lineRule="exact"/>
        <w:ind w:firstLine="420" w:firstLineChars="200"/>
        <w:rPr>
          <w:rFonts w:ascii="宋体" w:hAnsi="宋体"/>
          <w:sz w:val="21"/>
          <w:szCs w:val="21"/>
        </w:rPr>
      </w:pPr>
      <w:r>
        <w:rPr>
          <w:rFonts w:hint="eastAsia" w:ascii="宋体" w:hAnsi="宋体"/>
          <w:sz w:val="21"/>
          <w:szCs w:val="21"/>
        </w:rPr>
        <w:t>市场部负责顾客财产管理，综合行政部负责外部供方财产管理。对顾客提供的技术文件等按《文件控制程序》的要求，进行标识、登记、保存并控制发放。如果顾客或外部供方财产发生丢失、损失或发现不适用的情况，作好记录，并及时向顾客或外部供方报告。</w:t>
      </w:r>
    </w:p>
    <w:p w14:paraId="7A692F6C">
      <w:pPr>
        <w:spacing w:line="400" w:lineRule="exact"/>
        <w:ind w:firstLine="420" w:firstLineChars="200"/>
        <w:rPr>
          <w:rFonts w:ascii="宋体" w:hAnsi="宋体"/>
          <w:sz w:val="21"/>
          <w:szCs w:val="21"/>
        </w:rPr>
      </w:pPr>
      <w:r>
        <w:rPr>
          <w:rFonts w:hint="eastAsia" w:ascii="宋体" w:hAnsi="宋体"/>
          <w:sz w:val="21"/>
          <w:szCs w:val="21"/>
        </w:rPr>
        <w:t>质量管理部对顾客的资料、工具、设备等进行验证并做好标识，存放于仓库指定区域，仓库保管员负责登记、贮存、保护和维护。</w:t>
      </w:r>
      <w:bookmarkStart w:id="124" w:name="_Toc495838161"/>
    </w:p>
    <w:p w14:paraId="489E4641">
      <w:pPr>
        <w:spacing w:line="400" w:lineRule="exact"/>
        <w:rPr>
          <w:rFonts w:ascii="宋体" w:hAnsi="宋体" w:cs="宋体"/>
          <w:sz w:val="21"/>
          <w:szCs w:val="21"/>
        </w:rPr>
      </w:pPr>
      <w:r>
        <w:rPr>
          <w:rFonts w:hint="eastAsia" w:ascii="宋体" w:hAnsi="宋体" w:cs="宋体"/>
          <w:b/>
          <w:bCs/>
          <w:sz w:val="21"/>
          <w:szCs w:val="21"/>
        </w:rPr>
        <w:t>注：</w:t>
      </w:r>
      <w:r>
        <w:rPr>
          <w:rFonts w:hint="eastAsia" w:ascii="宋体" w:hAnsi="宋体" w:cs="宋体"/>
          <w:sz w:val="21"/>
          <w:szCs w:val="21"/>
        </w:rPr>
        <w:t>顾客财产可包括材料、部件、工具和设备、顾客许可、知识产权和个人数据。</w:t>
      </w:r>
    </w:p>
    <w:p w14:paraId="740EE7D0">
      <w:pPr>
        <w:spacing w:line="400" w:lineRule="exact"/>
        <w:rPr>
          <w:rFonts w:ascii="宋体" w:hAnsi="宋体"/>
          <w:bCs/>
          <w:sz w:val="21"/>
          <w:szCs w:val="21"/>
        </w:rPr>
      </w:pPr>
      <w:r>
        <w:rPr>
          <w:rFonts w:ascii="宋体" w:hAnsi="宋体"/>
          <w:bCs/>
          <w:sz w:val="21"/>
          <w:szCs w:val="21"/>
        </w:rPr>
        <w:t xml:space="preserve">8.5.4 </w:t>
      </w:r>
      <w:r>
        <w:rPr>
          <w:rFonts w:hint="eastAsia" w:ascii="宋体" w:hAnsi="宋体"/>
          <w:bCs/>
          <w:sz w:val="21"/>
          <w:szCs w:val="21"/>
        </w:rPr>
        <w:t>防护</w:t>
      </w:r>
      <w:bookmarkEnd w:id="124"/>
    </w:p>
    <w:p w14:paraId="4209CFAE">
      <w:pPr>
        <w:spacing w:line="400" w:lineRule="exact"/>
        <w:ind w:firstLine="420" w:firstLineChars="200"/>
        <w:rPr>
          <w:rFonts w:ascii="宋体" w:hAnsi="宋体"/>
          <w:sz w:val="21"/>
          <w:szCs w:val="21"/>
        </w:rPr>
      </w:pPr>
      <w:r>
        <w:rPr>
          <w:rFonts w:hint="eastAsia" w:ascii="宋体" w:hAnsi="宋体"/>
          <w:sz w:val="21"/>
          <w:szCs w:val="21"/>
        </w:rPr>
        <w:t>各职能部门在原材料接收、公司内加工、产品转移、包装、贮存直至交付到预定地点期间，确保做好防护工作，使产品完好地交付到顾客手中。</w:t>
      </w:r>
    </w:p>
    <w:p w14:paraId="089A0C74">
      <w:pPr>
        <w:spacing w:line="400" w:lineRule="exact"/>
        <w:ind w:firstLine="420" w:firstLineChars="200"/>
        <w:rPr>
          <w:rFonts w:ascii="宋体" w:hAnsi="宋体"/>
        </w:rPr>
      </w:pPr>
      <w:r>
        <w:rPr>
          <w:rFonts w:hint="eastAsia" w:ascii="宋体" w:hAnsi="宋体"/>
          <w:sz w:val="21"/>
          <w:szCs w:val="21"/>
        </w:rPr>
        <w:t>产品的防护应涉及到从内部处理到交付期间的所有环节，防止软件产品的退化、损坏和错误使用。质量管理部</w:t>
      </w:r>
      <w:r>
        <w:rPr>
          <w:rFonts w:ascii="宋体" w:hAnsi="宋体"/>
          <w:sz w:val="21"/>
          <w:szCs w:val="21"/>
        </w:rPr>
        <w:t>归口</w:t>
      </w:r>
      <w:r>
        <w:rPr>
          <w:rFonts w:hint="eastAsia" w:ascii="宋体" w:hAnsi="宋体"/>
          <w:sz w:val="21"/>
          <w:szCs w:val="21"/>
        </w:rPr>
        <w:t>管理</w:t>
      </w:r>
      <w:r>
        <w:rPr>
          <w:rFonts w:ascii="宋体" w:hAnsi="宋体"/>
          <w:sz w:val="21"/>
          <w:szCs w:val="21"/>
        </w:rPr>
        <w:t>，项目组实施，在产品</w:t>
      </w:r>
      <w:r>
        <w:rPr>
          <w:rFonts w:hint="eastAsia" w:ascii="宋体" w:hAnsi="宋体"/>
          <w:sz w:val="21"/>
          <w:szCs w:val="21"/>
        </w:rPr>
        <w:t>及其组成部分</w:t>
      </w:r>
      <w:r>
        <w:rPr>
          <w:rFonts w:ascii="宋体" w:hAnsi="宋体"/>
          <w:sz w:val="21"/>
          <w:szCs w:val="21"/>
        </w:rPr>
        <w:t>交付至预定地点</w:t>
      </w:r>
      <w:r>
        <w:rPr>
          <w:rFonts w:hint="eastAsia" w:ascii="宋体" w:hAnsi="宋体"/>
          <w:sz w:val="21"/>
          <w:szCs w:val="21"/>
        </w:rPr>
        <w:t>前</w:t>
      </w:r>
      <w:r>
        <w:rPr>
          <w:rFonts w:ascii="宋体" w:hAnsi="宋体"/>
          <w:sz w:val="21"/>
          <w:szCs w:val="21"/>
        </w:rPr>
        <w:t>，</w:t>
      </w:r>
      <w:r>
        <w:rPr>
          <w:rFonts w:hint="eastAsia" w:ascii="宋体" w:hAnsi="宋体"/>
          <w:sz w:val="21"/>
          <w:szCs w:val="21"/>
        </w:rPr>
        <w:t>应</w:t>
      </w:r>
      <w:r>
        <w:rPr>
          <w:rFonts w:ascii="宋体" w:hAnsi="宋体"/>
          <w:sz w:val="21"/>
          <w:szCs w:val="21"/>
        </w:rPr>
        <w:t>采取有效措施，对产品的符合性提供防护和控制</w:t>
      </w:r>
      <w:r>
        <w:rPr>
          <w:rFonts w:hint="eastAsia" w:ascii="宋体" w:hAnsi="宋体"/>
          <w:sz w:val="21"/>
          <w:szCs w:val="21"/>
        </w:rPr>
        <w:t>，出具</w:t>
      </w:r>
      <w:r>
        <w:rPr>
          <w:rFonts w:ascii="宋体" w:hAnsi="宋体"/>
          <w:sz w:val="21"/>
          <w:szCs w:val="21"/>
        </w:rPr>
        <w:t>相应的检验报告，保证产品在使用和交付前不被损坏，正常发挥功能。</w:t>
      </w:r>
    </w:p>
    <w:p w14:paraId="1AE9930A">
      <w:pPr>
        <w:spacing w:line="400" w:lineRule="exact"/>
        <w:ind w:firstLine="420" w:firstLineChars="200"/>
        <w:rPr>
          <w:rFonts w:ascii="宋体" w:hAnsi="宋体"/>
          <w:sz w:val="21"/>
          <w:szCs w:val="21"/>
        </w:rPr>
      </w:pPr>
      <w:r>
        <w:rPr>
          <w:rFonts w:hint="eastAsia" w:ascii="宋体" w:hAnsi="宋体"/>
          <w:sz w:val="21"/>
          <w:szCs w:val="21"/>
        </w:rPr>
        <w:t>防护应包括标识、运输、贮存和</w:t>
      </w:r>
      <w:r>
        <w:rPr>
          <w:rFonts w:ascii="宋体" w:hAnsi="宋体"/>
          <w:sz w:val="21"/>
          <w:szCs w:val="21"/>
        </w:rPr>
        <w:t>软件载体</w:t>
      </w:r>
      <w:r>
        <w:rPr>
          <w:rFonts w:hint="eastAsia" w:ascii="宋体" w:hAnsi="宋体"/>
          <w:sz w:val="21"/>
          <w:szCs w:val="21"/>
        </w:rPr>
        <w:t>光盘</w:t>
      </w:r>
      <w:r>
        <w:rPr>
          <w:rFonts w:ascii="宋体" w:hAnsi="宋体"/>
          <w:sz w:val="21"/>
          <w:szCs w:val="21"/>
        </w:rPr>
        <w:t>的防护措施：</w:t>
      </w:r>
      <w:r>
        <w:rPr>
          <w:rFonts w:hint="eastAsia" w:ascii="宋体" w:hAnsi="宋体"/>
          <w:sz w:val="21"/>
          <w:szCs w:val="21"/>
        </w:rPr>
        <w:t>包括物理防护（光盘保护套、泡沫、包装盒）以及杀毒、备份等。</w:t>
      </w:r>
    </w:p>
    <w:p w14:paraId="42AA861B">
      <w:pPr>
        <w:spacing w:line="400" w:lineRule="exact"/>
        <w:rPr>
          <w:rFonts w:ascii="宋体" w:hAnsi="宋体"/>
          <w:bCs/>
          <w:sz w:val="21"/>
          <w:szCs w:val="21"/>
        </w:rPr>
      </w:pPr>
      <w:r>
        <w:rPr>
          <w:rFonts w:ascii="宋体" w:hAnsi="宋体"/>
          <w:bCs/>
          <w:sz w:val="21"/>
          <w:szCs w:val="21"/>
        </w:rPr>
        <w:t xml:space="preserve">8.5.5 </w:t>
      </w:r>
      <w:r>
        <w:rPr>
          <w:rFonts w:hint="eastAsia" w:ascii="宋体" w:hAnsi="宋体"/>
          <w:bCs/>
          <w:sz w:val="21"/>
          <w:szCs w:val="21"/>
        </w:rPr>
        <w:t>交付后的活动</w:t>
      </w:r>
    </w:p>
    <w:p w14:paraId="66692873">
      <w:pPr>
        <w:spacing w:line="400" w:lineRule="exact"/>
        <w:ind w:firstLine="420" w:firstLineChars="200"/>
        <w:rPr>
          <w:rFonts w:ascii="宋体" w:hAnsi="宋体" w:cs="宋体"/>
          <w:color w:val="000000"/>
          <w:sz w:val="21"/>
          <w:szCs w:val="21"/>
        </w:rPr>
      </w:pPr>
      <w:r>
        <w:rPr>
          <w:rFonts w:hint="eastAsia" w:ascii="宋体" w:hAnsi="宋体" w:cs="宋体"/>
          <w:color w:val="000000"/>
          <w:sz w:val="21"/>
          <w:szCs w:val="21"/>
        </w:rPr>
        <w:t>公司策划并制定</w:t>
      </w:r>
      <w:r>
        <w:rPr>
          <w:rFonts w:hint="eastAsia" w:ascii="宋体" w:hAnsi="宋体" w:cs="宋体"/>
          <w:sz w:val="21"/>
          <w:szCs w:val="21"/>
        </w:rPr>
        <w:t>《HY-CX-17-2022产品服务管理办法》</w:t>
      </w:r>
      <w:r>
        <w:rPr>
          <w:rFonts w:hint="eastAsia" w:ascii="宋体" w:hAnsi="宋体" w:cs="宋体"/>
          <w:color w:val="000000"/>
          <w:sz w:val="21"/>
          <w:szCs w:val="21"/>
        </w:rPr>
        <w:t>，明确公司产品售后服务活动实施的范围、职责、内容和流程包括实施、验证、报告等具体要求。</w:t>
      </w:r>
    </w:p>
    <w:p w14:paraId="4CA476C3">
      <w:pPr>
        <w:spacing w:line="400" w:lineRule="exact"/>
        <w:ind w:firstLine="420" w:firstLineChars="200"/>
        <w:rPr>
          <w:rFonts w:ascii="宋体" w:hAnsi="宋体" w:cs="宋体"/>
          <w:color w:val="000000"/>
          <w:sz w:val="21"/>
          <w:szCs w:val="21"/>
        </w:rPr>
      </w:pPr>
      <w:r>
        <w:rPr>
          <w:rFonts w:hint="eastAsia" w:ascii="宋体" w:hAnsi="宋体" w:cs="宋体"/>
          <w:sz w:val="21"/>
          <w:szCs w:val="21"/>
        </w:rPr>
        <w:t>市场部</w:t>
      </w:r>
      <w:r>
        <w:rPr>
          <w:rFonts w:hint="eastAsia" w:ascii="宋体" w:hAnsi="宋体" w:cs="宋体"/>
          <w:color w:val="000000"/>
          <w:sz w:val="21"/>
          <w:szCs w:val="21"/>
        </w:rPr>
        <w:t>负责产</w:t>
      </w:r>
      <w:r>
        <w:rPr>
          <w:rFonts w:hint="eastAsia" w:ascii="宋体" w:hAnsi="宋体" w:cs="宋体"/>
          <w:sz w:val="21"/>
          <w:szCs w:val="21"/>
        </w:rPr>
        <w:t>品交付</w:t>
      </w:r>
      <w:r>
        <w:rPr>
          <w:rFonts w:hint="eastAsia" w:ascii="宋体" w:hAnsi="宋体" w:cs="宋体"/>
          <w:color w:val="000000"/>
          <w:sz w:val="21"/>
          <w:szCs w:val="21"/>
        </w:rPr>
        <w:t>后活动的管理。</w:t>
      </w:r>
    </w:p>
    <w:p w14:paraId="77EB02A6">
      <w:pPr>
        <w:spacing w:line="400" w:lineRule="exact"/>
        <w:ind w:firstLine="420" w:firstLineChars="200"/>
        <w:rPr>
          <w:rFonts w:ascii="宋体" w:hAnsi="宋体" w:cs="宋体"/>
          <w:sz w:val="21"/>
          <w:szCs w:val="21"/>
        </w:rPr>
      </w:pPr>
      <w:r>
        <w:rPr>
          <w:rFonts w:hint="eastAsia" w:ascii="宋体" w:hAnsi="宋体" w:cs="宋体"/>
          <w:sz w:val="21"/>
          <w:szCs w:val="21"/>
        </w:rPr>
        <w:t>交付后活动包括软件升级和软件维护。</w:t>
      </w:r>
    </w:p>
    <w:p w14:paraId="656C9A06">
      <w:pPr>
        <w:spacing w:line="400" w:lineRule="exact"/>
        <w:ind w:firstLine="420" w:firstLineChars="200"/>
        <w:rPr>
          <w:rFonts w:ascii="宋体" w:hAnsi="宋体"/>
          <w:color w:val="000000"/>
          <w:sz w:val="21"/>
          <w:szCs w:val="21"/>
        </w:rPr>
      </w:pPr>
      <w:r>
        <w:rPr>
          <w:rFonts w:hint="eastAsia" w:ascii="宋体" w:hAnsi="宋体"/>
          <w:color w:val="000000"/>
          <w:sz w:val="21"/>
          <w:szCs w:val="21"/>
        </w:rPr>
        <w:t>公司在确定其覆盖范围和程度时，主要考虑：</w:t>
      </w:r>
    </w:p>
    <w:p w14:paraId="34732B46">
      <w:pPr>
        <w:snapToGrid w:val="0"/>
        <w:spacing w:line="400" w:lineRule="exact"/>
        <w:ind w:firstLine="420" w:firstLineChars="200"/>
        <w:rPr>
          <w:rFonts w:ascii="宋体" w:hAnsi="宋体"/>
          <w:color w:val="000000"/>
          <w:sz w:val="21"/>
          <w:szCs w:val="21"/>
        </w:rPr>
      </w:pPr>
      <w:r>
        <w:rPr>
          <w:rFonts w:ascii="宋体" w:hAnsi="宋体"/>
          <w:color w:val="000000"/>
          <w:sz w:val="21"/>
          <w:szCs w:val="21"/>
        </w:rPr>
        <w:t>a</w:t>
      </w:r>
      <w:r>
        <w:rPr>
          <w:rFonts w:hint="eastAsia" w:ascii="宋体" w:hAnsi="宋体"/>
          <w:sz w:val="21"/>
          <w:szCs w:val="21"/>
        </w:rPr>
        <w:t>)</w:t>
      </w:r>
      <w:r>
        <w:rPr>
          <w:rFonts w:hint="eastAsia" w:ascii="宋体" w:hAnsi="宋体"/>
          <w:color w:val="000000"/>
          <w:sz w:val="21"/>
          <w:szCs w:val="21"/>
        </w:rPr>
        <w:t>法律法规要求；</w:t>
      </w:r>
      <w:r>
        <w:rPr>
          <w:rFonts w:ascii="宋体" w:hAnsi="宋体"/>
          <w:color w:val="000000"/>
          <w:sz w:val="21"/>
          <w:szCs w:val="21"/>
        </w:rPr>
        <w:t xml:space="preserve"> </w:t>
      </w:r>
    </w:p>
    <w:p w14:paraId="7D430AEF">
      <w:pPr>
        <w:snapToGrid w:val="0"/>
        <w:spacing w:line="400" w:lineRule="exact"/>
        <w:ind w:firstLine="420" w:firstLineChars="200"/>
        <w:rPr>
          <w:rFonts w:ascii="宋体" w:hAnsi="宋体"/>
          <w:color w:val="000000"/>
          <w:sz w:val="21"/>
          <w:szCs w:val="21"/>
        </w:rPr>
      </w:pPr>
      <w:r>
        <w:rPr>
          <w:rFonts w:ascii="宋体" w:hAnsi="宋体"/>
          <w:color w:val="000000"/>
          <w:sz w:val="21"/>
          <w:szCs w:val="21"/>
        </w:rPr>
        <w:t>b</w:t>
      </w:r>
      <w:r>
        <w:rPr>
          <w:rFonts w:hint="eastAsia" w:ascii="宋体" w:hAnsi="宋体"/>
          <w:sz w:val="21"/>
          <w:szCs w:val="21"/>
        </w:rPr>
        <w:t>)与产品和服务相关的潜在不良后果，</w:t>
      </w:r>
      <w:r>
        <w:rPr>
          <w:rFonts w:hint="eastAsia" w:ascii="宋体" w:hAnsi="宋体" w:cs="宋体"/>
          <w:color w:val="000000"/>
          <w:sz w:val="21"/>
          <w:szCs w:val="21"/>
        </w:rPr>
        <w:t>风险应得到识别和控制；</w:t>
      </w:r>
    </w:p>
    <w:p w14:paraId="597E6F10">
      <w:pPr>
        <w:snapToGrid w:val="0"/>
        <w:spacing w:line="400" w:lineRule="exact"/>
        <w:ind w:firstLine="420" w:firstLineChars="200"/>
        <w:rPr>
          <w:rFonts w:ascii="宋体" w:hAnsi="宋体" w:cs="宋体"/>
          <w:color w:val="000000"/>
          <w:sz w:val="21"/>
          <w:szCs w:val="21"/>
        </w:rPr>
      </w:pPr>
      <w:r>
        <w:rPr>
          <w:rFonts w:ascii="宋体" w:hAnsi="宋体"/>
          <w:color w:val="000000"/>
          <w:sz w:val="21"/>
          <w:szCs w:val="21"/>
        </w:rPr>
        <w:t>c</w:t>
      </w:r>
      <w:r>
        <w:rPr>
          <w:rFonts w:hint="eastAsia" w:ascii="宋体" w:hAnsi="宋体"/>
          <w:sz w:val="21"/>
          <w:szCs w:val="21"/>
        </w:rPr>
        <w:t>)</w:t>
      </w:r>
      <w:r>
        <w:rPr>
          <w:rFonts w:hint="eastAsia" w:ascii="宋体" w:hAnsi="宋体"/>
          <w:color w:val="000000"/>
          <w:sz w:val="21"/>
          <w:szCs w:val="21"/>
        </w:rPr>
        <w:t>产品和服务的性质、使用和预期寿命包括延寿的考虑；</w:t>
      </w:r>
      <w:r>
        <w:rPr>
          <w:rFonts w:ascii="宋体" w:hAnsi="宋体"/>
          <w:color w:val="000000"/>
          <w:sz w:val="21"/>
          <w:szCs w:val="21"/>
        </w:rPr>
        <w:t xml:space="preserve"> </w:t>
      </w:r>
    </w:p>
    <w:p w14:paraId="4C9B5592">
      <w:pPr>
        <w:snapToGrid w:val="0"/>
        <w:spacing w:line="400" w:lineRule="exact"/>
        <w:ind w:firstLine="420" w:firstLineChars="200"/>
        <w:rPr>
          <w:rFonts w:ascii="宋体" w:hAnsi="宋体" w:cs="宋体"/>
          <w:sz w:val="21"/>
          <w:szCs w:val="21"/>
        </w:rPr>
      </w:pPr>
      <w:r>
        <w:rPr>
          <w:rFonts w:ascii="宋体" w:hAnsi="宋体" w:cs="宋体"/>
          <w:sz w:val="21"/>
          <w:szCs w:val="21"/>
        </w:rPr>
        <w:t>d</w:t>
      </w:r>
      <w:r>
        <w:rPr>
          <w:rFonts w:hint="eastAsia" w:ascii="宋体" w:hAnsi="宋体"/>
          <w:sz w:val="21"/>
          <w:szCs w:val="21"/>
        </w:rPr>
        <w:t>)</w:t>
      </w:r>
      <w:r>
        <w:rPr>
          <w:rFonts w:hint="eastAsia" w:ascii="宋体" w:hAnsi="宋体" w:cs="宋体"/>
          <w:sz w:val="21"/>
          <w:szCs w:val="21"/>
        </w:rPr>
        <w:t>顾客要求；</w:t>
      </w:r>
      <w:r>
        <w:rPr>
          <w:rFonts w:ascii="宋体" w:hAnsi="宋体" w:cs="宋体"/>
          <w:sz w:val="21"/>
          <w:szCs w:val="21"/>
        </w:rPr>
        <w:t xml:space="preserve"> </w:t>
      </w:r>
    </w:p>
    <w:p w14:paraId="1D492FDE">
      <w:pPr>
        <w:snapToGrid w:val="0"/>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)顾客反馈；</w:t>
      </w:r>
      <w:r>
        <w:rPr>
          <w:rFonts w:ascii="宋体" w:hAnsi="宋体"/>
          <w:sz w:val="21"/>
          <w:szCs w:val="21"/>
        </w:rPr>
        <w:t xml:space="preserve"> </w:t>
      </w:r>
    </w:p>
    <w:p w14:paraId="5EF04FF9">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f)对交付后活动予以控制，主要包括：</w:t>
      </w:r>
    </w:p>
    <w:p w14:paraId="15741319">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(a)研发部编制培训手册，并按规定完成产品使用和维护的技术培训；</w:t>
      </w:r>
      <w:r>
        <w:rPr>
          <w:rFonts w:ascii="楷体" w:hAnsi="楷体" w:eastAsia="楷体"/>
          <w:bCs/>
          <w:sz w:val="21"/>
          <w:szCs w:val="21"/>
        </w:rPr>
        <w:t xml:space="preserve"> </w:t>
      </w:r>
    </w:p>
    <w:p w14:paraId="2C54F7FB">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(b)研发部确保交付的产品有关使用和维护相关的技术文件得到控制和更新；</w:t>
      </w:r>
    </w:p>
    <w:p w14:paraId="5CF5825A">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(c)研发部负责按规定协调委派技术、服务人员到现场服务，指导正确安装、调试、使用和维护，及时解决出现的质量问题；</w:t>
      </w:r>
    </w:p>
    <w:p w14:paraId="694AF09F">
      <w:pPr>
        <w:snapToGrid w:val="0"/>
        <w:spacing w:line="400" w:lineRule="exact"/>
        <w:ind w:firstLine="420" w:firstLineChars="200"/>
        <w:rPr>
          <w:rFonts w:ascii="楷体" w:hAnsi="楷体" w:eastAsia="楷体"/>
          <w:bCs/>
          <w:sz w:val="21"/>
          <w:szCs w:val="21"/>
        </w:rPr>
      </w:pPr>
      <w:r>
        <w:rPr>
          <w:rFonts w:hint="eastAsia" w:ascii="楷体" w:hAnsi="楷体" w:eastAsia="楷体"/>
          <w:bCs/>
          <w:sz w:val="21"/>
          <w:szCs w:val="21"/>
        </w:rPr>
        <w:t>(d)市场部建立顾客档案，负责收集和分析产品使用和服务中的信息，传递给研发部进行分析；</w:t>
      </w:r>
      <w:r>
        <w:rPr>
          <w:rFonts w:ascii="楷体" w:hAnsi="楷体" w:eastAsia="楷体"/>
          <w:bCs/>
          <w:sz w:val="21"/>
          <w:szCs w:val="21"/>
        </w:rPr>
        <w:t xml:space="preserve"> </w:t>
      </w:r>
    </w:p>
    <w:p w14:paraId="0E37D500">
      <w:pPr>
        <w:snapToGrid w:val="0"/>
        <w:spacing w:line="400" w:lineRule="exact"/>
        <w:ind w:firstLine="420" w:firstLineChars="200"/>
        <w:rPr>
          <w:rFonts w:ascii="宋体" w:hAnsi="宋体" w:cs="楷体_GB2312"/>
          <w:bCs/>
          <w:sz w:val="21"/>
          <w:szCs w:val="21"/>
        </w:rPr>
      </w:pPr>
      <w:r>
        <w:rPr>
          <w:rFonts w:hint="eastAsia" w:ascii="楷体" w:hAnsi="楷体" w:eastAsia="楷体"/>
          <w:bCs/>
          <w:sz w:val="21"/>
          <w:szCs w:val="21"/>
        </w:rPr>
        <w:t>(e)交付后发现问题时，市场部对顾客在使用中提出的问题或改进建议，适时作出解答，或采取相应的措施予以落实，确保产品发挥应有的使用效能。并通过走访、座谈或电话、定期发放《顾客满意度调查表》等方式广泛征求顾客的意见和要求，根据征询情况进行分析，寻求改进的机会。</w:t>
      </w:r>
      <w:r>
        <w:rPr>
          <w:rFonts w:ascii="宋体" w:hAnsi="宋体" w:cs="楷体_GB2312"/>
          <w:bCs/>
          <w:sz w:val="21"/>
          <w:szCs w:val="21"/>
        </w:rPr>
        <w:t xml:space="preserve"> </w:t>
      </w:r>
      <w:bookmarkStart w:id="125" w:name="_Toc495838163"/>
    </w:p>
    <w:p w14:paraId="46A1CE39">
      <w:pPr>
        <w:spacing w:line="400" w:lineRule="exact"/>
        <w:rPr>
          <w:rFonts w:ascii="宋体" w:hAnsi="宋体"/>
          <w:color w:val="000000"/>
          <w:sz w:val="21"/>
          <w:szCs w:val="21"/>
        </w:rPr>
      </w:pPr>
      <w:r>
        <w:rPr>
          <w:rFonts w:ascii="宋体" w:hAnsi="宋体"/>
          <w:bCs/>
          <w:sz w:val="21"/>
          <w:szCs w:val="21"/>
        </w:rPr>
        <w:t xml:space="preserve">8.5.6 </w:t>
      </w:r>
      <w:r>
        <w:rPr>
          <w:rFonts w:hint="eastAsia" w:ascii="宋体" w:hAnsi="宋体"/>
          <w:bCs/>
          <w:sz w:val="21"/>
          <w:szCs w:val="21"/>
        </w:rPr>
        <w:t>更改控制</w:t>
      </w:r>
      <w:bookmarkEnd w:id="125"/>
    </w:p>
    <w:p w14:paraId="658BFE37">
      <w:pPr>
        <w:spacing w:line="360" w:lineRule="auto"/>
        <w:ind w:firstLine="420" w:firstLineChars="200"/>
        <w:rPr>
          <w:rFonts w:ascii="宋体" w:hAnsi="宋体"/>
          <w:sz w:val="21"/>
          <w:szCs w:val="21"/>
        </w:rPr>
      </w:pPr>
      <w:r>
        <w:rPr>
          <w:rFonts w:hint="eastAsia" w:ascii="宋体" w:hAnsi="宋体"/>
          <w:sz w:val="21"/>
          <w:szCs w:val="21"/>
        </w:rPr>
        <w:t>公司对</w:t>
      </w:r>
      <w:r>
        <w:rPr>
          <w:rFonts w:ascii="宋体" w:hAnsi="宋体"/>
          <w:sz w:val="21"/>
          <w:szCs w:val="21"/>
        </w:rPr>
        <w:t>生产</w:t>
      </w:r>
      <w:r>
        <w:rPr>
          <w:rFonts w:hint="eastAsia" w:ascii="宋体" w:hAnsi="宋体"/>
          <w:sz w:val="21"/>
          <w:szCs w:val="21"/>
        </w:rPr>
        <w:t>或</w:t>
      </w:r>
      <w:r>
        <w:rPr>
          <w:rFonts w:ascii="宋体" w:hAnsi="宋体"/>
          <w:sz w:val="21"/>
          <w:szCs w:val="21"/>
        </w:rPr>
        <w:t>服务提供的更改需进行必要的评审和控制，以确保持续地</w:t>
      </w:r>
      <w:r>
        <w:rPr>
          <w:rFonts w:hint="eastAsia" w:ascii="宋体" w:hAnsi="宋体"/>
          <w:sz w:val="21"/>
          <w:szCs w:val="21"/>
        </w:rPr>
        <w:t>符合</w:t>
      </w:r>
      <w:r>
        <w:rPr>
          <w:rFonts w:ascii="宋体" w:hAnsi="宋体"/>
          <w:sz w:val="21"/>
          <w:szCs w:val="21"/>
        </w:rPr>
        <w:t>要求</w:t>
      </w:r>
      <w:r>
        <w:rPr>
          <w:rFonts w:hint="eastAsia" w:ascii="宋体" w:hAnsi="宋体"/>
          <w:sz w:val="21"/>
          <w:szCs w:val="21"/>
        </w:rPr>
        <w:t>。公司从产品库调出的已固化软件光盘更改可能涉及软件版本、软件文档、软件开发工具等更改，由生产运维部</w:t>
      </w:r>
      <w:r>
        <w:rPr>
          <w:rFonts w:ascii="宋体" w:hAnsi="宋体"/>
          <w:sz w:val="21"/>
          <w:szCs w:val="21"/>
        </w:rPr>
        <w:t>负责</w:t>
      </w:r>
      <w:r>
        <w:rPr>
          <w:rFonts w:hint="eastAsia" w:ascii="宋体" w:hAnsi="宋体"/>
          <w:sz w:val="21"/>
          <w:szCs w:val="21"/>
        </w:rPr>
        <w:t>归口管理控制，研发部协助涉及到软件设计及相关文档的</w:t>
      </w:r>
      <w:r>
        <w:rPr>
          <w:rFonts w:ascii="宋体" w:hAnsi="宋体"/>
          <w:sz w:val="21"/>
          <w:szCs w:val="21"/>
        </w:rPr>
        <w:t>更改。</w:t>
      </w:r>
    </w:p>
    <w:p w14:paraId="37C5A828">
      <w:pPr>
        <w:spacing w:line="360" w:lineRule="auto"/>
        <w:ind w:firstLine="420" w:firstLineChars="200"/>
        <w:rPr>
          <w:rFonts w:ascii="楷体" w:hAnsi="楷体" w:eastAsia="楷体"/>
          <w:bCs/>
          <w:sz w:val="21"/>
          <w:szCs w:val="21"/>
        </w:rPr>
      </w:pPr>
      <w:r>
        <w:rPr>
          <w:rFonts w:hint="eastAsia" w:ascii="楷体" w:hAnsi="楷体" w:eastAsia="楷体"/>
          <w:bCs/>
          <w:sz w:val="21"/>
          <w:szCs w:val="21"/>
        </w:rPr>
        <w:t>研发部按规定审批已固化软件更改的类别，</w:t>
      </w:r>
      <w:r>
        <w:rPr>
          <w:rFonts w:ascii="楷体" w:hAnsi="楷体" w:eastAsia="楷体"/>
          <w:bCs/>
          <w:sz w:val="21"/>
          <w:szCs w:val="21"/>
        </w:rPr>
        <w:t>对更改需求进行评审，</w:t>
      </w:r>
      <w:r>
        <w:rPr>
          <w:rFonts w:hint="eastAsia" w:ascii="楷体" w:hAnsi="楷体" w:eastAsia="楷体"/>
          <w:bCs/>
          <w:sz w:val="21"/>
          <w:szCs w:val="21"/>
        </w:rPr>
        <w:t>对更改产生或可能产生的影响进行必要的评审和控制，包括实施前的验证（软件测试）和确认，依据评审结果采取必要措施，更改控制应考虑产品技术状态的控制（软件版本、配置管理等），评审结果经分管负责人审核，报总经理批准，顾客要求时须经顾客同意。</w:t>
      </w:r>
    </w:p>
    <w:p w14:paraId="69DF2F73">
      <w:pPr>
        <w:spacing w:line="360" w:lineRule="auto"/>
        <w:ind w:firstLine="420" w:firstLineChars="200"/>
        <w:rPr>
          <w:rFonts w:ascii="楷体" w:hAnsi="楷体" w:eastAsia="楷体"/>
          <w:bCs/>
          <w:sz w:val="21"/>
          <w:szCs w:val="21"/>
        </w:rPr>
      </w:pPr>
      <w:r>
        <w:rPr>
          <w:rFonts w:hint="eastAsia" w:ascii="楷体" w:hAnsi="楷体" w:eastAsia="楷体"/>
          <w:bCs/>
          <w:sz w:val="21"/>
          <w:szCs w:val="21"/>
        </w:rPr>
        <w:t>公司生产运维部应</w:t>
      </w:r>
      <w:r>
        <w:rPr>
          <w:rFonts w:ascii="楷体" w:hAnsi="楷体" w:eastAsia="楷体"/>
          <w:bCs/>
          <w:sz w:val="21"/>
          <w:szCs w:val="21"/>
        </w:rPr>
        <w:t>保留</w:t>
      </w:r>
      <w:r>
        <w:rPr>
          <w:rFonts w:hint="eastAsia" w:ascii="楷体" w:hAnsi="楷体" w:eastAsia="楷体"/>
          <w:bCs/>
          <w:sz w:val="21"/>
          <w:szCs w:val="21"/>
        </w:rPr>
        <w:t>软件更改从产品库的进出库记录</w:t>
      </w:r>
      <w:r>
        <w:rPr>
          <w:rFonts w:ascii="楷体" w:hAnsi="楷体" w:eastAsia="楷体"/>
          <w:bCs/>
          <w:sz w:val="21"/>
          <w:szCs w:val="21"/>
        </w:rPr>
        <w:t>，包括有关更改评审的结果、授权进行更改的人员以及根据评审所采取的必要措施。</w:t>
      </w:r>
    </w:p>
    <w:p w14:paraId="4B61E049">
      <w:pPr>
        <w:spacing w:line="360" w:lineRule="auto"/>
        <w:ind w:firstLine="420" w:firstLineChars="200"/>
        <w:rPr>
          <w:rFonts w:ascii="楷体" w:hAnsi="楷体" w:eastAsia="楷体"/>
          <w:b/>
          <w:sz w:val="21"/>
          <w:szCs w:val="21"/>
        </w:rPr>
      </w:pPr>
      <w:bookmarkStart w:id="126" w:name="_Toc495838164"/>
      <w:r>
        <w:rPr>
          <w:rFonts w:hint="eastAsia" w:ascii="楷体" w:hAnsi="楷体" w:eastAsia="楷体"/>
          <w:bCs/>
          <w:sz w:val="21"/>
          <w:szCs w:val="21"/>
        </w:rPr>
        <w:t>当外部供方生产和服务过程发生更改时，生产运维部应对其予以控制，得到必要的确认和审批，确保其变更不会影响公司产品和服务的提供。</w:t>
      </w:r>
    </w:p>
    <w:p w14:paraId="29E7569F">
      <w:pPr>
        <w:spacing w:line="360" w:lineRule="auto"/>
        <w:ind w:firstLine="422" w:firstLineChars="200"/>
        <w:rPr>
          <w:rFonts w:ascii="楷体" w:hAnsi="楷体" w:eastAsia="楷体"/>
          <w:b/>
          <w:color w:val="000000"/>
          <w:sz w:val="21"/>
          <w:szCs w:val="21"/>
        </w:rPr>
      </w:pPr>
    </w:p>
    <w:p w14:paraId="1CFEBF5E">
      <w:pPr>
        <w:spacing w:line="400" w:lineRule="exact"/>
        <w:rPr>
          <w:rFonts w:ascii="楷体" w:hAnsi="楷体" w:eastAsia="楷体"/>
          <w:b/>
          <w:bCs/>
          <w:color w:val="000000"/>
          <w:sz w:val="21"/>
          <w:szCs w:val="21"/>
        </w:rPr>
      </w:pPr>
      <w:r>
        <w:rPr>
          <w:rFonts w:hint="eastAsia" w:ascii="楷体" w:hAnsi="楷体" w:eastAsia="楷体"/>
          <w:b/>
          <w:bCs/>
          <w:color w:val="000000"/>
          <w:sz w:val="21"/>
          <w:szCs w:val="21"/>
        </w:rPr>
        <w:t>8.5.7 关键过程</w:t>
      </w:r>
      <w:bookmarkEnd w:id="126"/>
    </w:p>
    <w:p w14:paraId="0E658848">
      <w:pPr>
        <w:snapToGrid w:val="0"/>
        <w:spacing w:line="400" w:lineRule="exact"/>
        <w:ind w:firstLine="420" w:firstLineChars="200"/>
        <w:rPr>
          <w:rFonts w:ascii="楷体" w:hAnsi="楷体" w:eastAsia="楷体"/>
          <w:bCs/>
          <w:sz w:val="21"/>
          <w:szCs w:val="21"/>
        </w:rPr>
      </w:pPr>
      <w:r>
        <w:rPr>
          <w:rFonts w:hint="eastAsia" w:ascii="楷体" w:hAnsi="楷体" w:eastAsia="楷体"/>
          <w:bCs/>
          <w:color w:val="000000"/>
          <w:sz w:val="21"/>
          <w:szCs w:val="21"/>
        </w:rPr>
        <w:t>公司应对产品的关键过程进行识别，</w:t>
      </w:r>
      <w:r>
        <w:rPr>
          <w:rFonts w:hint="eastAsia" w:ascii="楷体" w:hAnsi="楷体" w:eastAsia="楷体"/>
          <w:bCs/>
          <w:sz w:val="21"/>
          <w:szCs w:val="21"/>
        </w:rPr>
        <w:t>涉及到（1）处理和影响故障的软件单元或模块</w:t>
      </w:r>
      <w:r>
        <w:rPr>
          <w:rFonts w:ascii="楷体" w:hAnsi="楷体" w:eastAsia="楷体"/>
          <w:bCs/>
          <w:sz w:val="21"/>
          <w:szCs w:val="21"/>
        </w:rPr>
        <w:t>;</w:t>
      </w:r>
      <w:r>
        <w:rPr>
          <w:rFonts w:hint="eastAsia" w:ascii="楷体" w:hAnsi="楷体" w:eastAsia="楷体"/>
          <w:bCs/>
          <w:sz w:val="21"/>
          <w:szCs w:val="21"/>
        </w:rPr>
        <w:t xml:space="preserve"> （2）中断处理程序</w:t>
      </w:r>
      <w:r>
        <w:rPr>
          <w:rFonts w:ascii="楷体" w:hAnsi="楷体" w:eastAsia="楷体"/>
          <w:bCs/>
          <w:sz w:val="21"/>
          <w:szCs w:val="21"/>
        </w:rPr>
        <w:t>;</w:t>
      </w:r>
      <w:r>
        <w:rPr>
          <w:rFonts w:hint="eastAsia" w:ascii="楷体" w:hAnsi="楷体" w:eastAsia="楷体"/>
          <w:bCs/>
          <w:sz w:val="21"/>
          <w:szCs w:val="21"/>
        </w:rPr>
        <w:t xml:space="preserve"> （3）启动安全关键行为的信号的软件</w:t>
      </w:r>
      <w:r>
        <w:rPr>
          <w:rFonts w:ascii="楷体" w:hAnsi="楷体" w:eastAsia="楷体"/>
          <w:bCs/>
          <w:sz w:val="21"/>
          <w:szCs w:val="21"/>
        </w:rPr>
        <w:t>;</w:t>
      </w:r>
      <w:r>
        <w:rPr>
          <w:rFonts w:hint="eastAsia" w:ascii="楷体" w:hAnsi="楷体" w:eastAsia="楷体"/>
          <w:bCs/>
          <w:sz w:val="21"/>
          <w:szCs w:val="21"/>
        </w:rPr>
        <w:t xml:space="preserve"> （4）直接影响硬件部件运行或显示安全关键硬件的系统状态的软件为安全关键软件。</w:t>
      </w:r>
    </w:p>
    <w:p w14:paraId="45EC0A70">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sz w:val="21"/>
          <w:szCs w:val="21"/>
        </w:rPr>
        <w:t>涉及上述安全关键软件的软件配置项的软件需求分析、软件设计、软件实现、软件测试和质量保证是关键过程，</w:t>
      </w:r>
      <w:r>
        <w:rPr>
          <w:rFonts w:hint="eastAsia" w:ascii="楷体" w:hAnsi="楷体" w:eastAsia="楷体"/>
          <w:bCs/>
          <w:color w:val="000000"/>
          <w:sz w:val="21"/>
          <w:szCs w:val="21"/>
        </w:rPr>
        <w:t>关键过程控制除按一般要求外，还应包括下述内容：</w:t>
      </w:r>
    </w:p>
    <w:p w14:paraId="00C91E20">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w:t>
      </w:r>
      <w:r>
        <w:rPr>
          <w:rFonts w:ascii="楷体" w:hAnsi="楷体" w:eastAsia="楷体"/>
          <w:bCs/>
          <w:sz w:val="21"/>
          <w:szCs w:val="21"/>
        </w:rPr>
        <w:t>关键过程进行标识</w:t>
      </w:r>
      <w:r>
        <w:rPr>
          <w:rFonts w:hint="eastAsia" w:ascii="楷体" w:hAnsi="楷体" w:eastAsia="楷体"/>
          <w:bCs/>
          <w:sz w:val="21"/>
          <w:szCs w:val="21"/>
        </w:rPr>
        <w:t>；</w:t>
      </w:r>
    </w:p>
    <w:p w14:paraId="492D5A3D">
      <w:pPr>
        <w:numPr>
          <w:ilvl w:val="0"/>
          <w:numId w:val="5"/>
        </w:numPr>
        <w:spacing w:line="400" w:lineRule="exact"/>
        <w:ind w:left="0" w:firstLine="567"/>
        <w:rPr>
          <w:rFonts w:ascii="楷体" w:hAnsi="楷体" w:eastAsia="楷体"/>
          <w:bCs/>
          <w:sz w:val="21"/>
          <w:szCs w:val="21"/>
        </w:rPr>
      </w:pPr>
      <w:r>
        <w:rPr>
          <w:rFonts w:hint="eastAsia" w:ascii="楷体" w:hAnsi="楷体" w:eastAsia="楷体"/>
          <w:bCs/>
          <w:sz w:val="21"/>
          <w:szCs w:val="21"/>
        </w:rPr>
        <w:t>对关键过程设置控制点，实施关键过程评审，对关键过程产生的文档进行有效监视和控制，详细做好过程及结论记录，保持可追溯性；</w:t>
      </w:r>
    </w:p>
    <w:p w14:paraId="5A9C3820">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对关键和重要特性实施百分之百测试；</w:t>
      </w:r>
    </w:p>
    <w:p w14:paraId="1FBBF3AE">
      <w:pPr>
        <w:numPr>
          <w:ilvl w:val="0"/>
          <w:numId w:val="5"/>
        </w:numPr>
        <w:spacing w:line="400" w:lineRule="exact"/>
        <w:rPr>
          <w:rFonts w:ascii="楷体" w:hAnsi="楷体" w:eastAsia="楷体"/>
          <w:bCs/>
          <w:sz w:val="21"/>
          <w:szCs w:val="21"/>
        </w:rPr>
      </w:pPr>
      <w:r>
        <w:rPr>
          <w:rFonts w:hint="eastAsia" w:ascii="楷体" w:hAnsi="楷体" w:eastAsia="楷体"/>
          <w:bCs/>
          <w:sz w:val="21"/>
          <w:szCs w:val="21"/>
        </w:rPr>
        <w:t>运用统计技术，确保过程能力符合要求；</w:t>
      </w:r>
    </w:p>
    <w:p w14:paraId="14E82997">
      <w:pPr>
        <w:numPr>
          <w:ilvl w:val="0"/>
          <w:numId w:val="5"/>
        </w:numPr>
        <w:spacing w:line="400" w:lineRule="exact"/>
        <w:rPr>
          <w:rFonts w:ascii="楷体" w:hAnsi="楷体" w:eastAsia="楷体"/>
          <w:bCs/>
        </w:rPr>
      </w:pPr>
      <w:r>
        <w:rPr>
          <w:rFonts w:ascii="楷体" w:hAnsi="楷体" w:eastAsia="楷体"/>
          <w:bCs/>
          <w:sz w:val="21"/>
          <w:szCs w:val="21"/>
        </w:rPr>
        <w:t>填写</w:t>
      </w:r>
      <w:r>
        <w:rPr>
          <w:rFonts w:hint="eastAsia" w:ascii="楷体" w:hAnsi="楷体" w:eastAsia="楷体"/>
          <w:bCs/>
          <w:sz w:val="21"/>
          <w:szCs w:val="21"/>
        </w:rPr>
        <w:t>文档修改</w:t>
      </w:r>
      <w:r>
        <w:rPr>
          <w:rFonts w:ascii="楷体" w:hAnsi="楷体" w:eastAsia="楷体"/>
          <w:bCs/>
          <w:sz w:val="21"/>
          <w:szCs w:val="21"/>
        </w:rPr>
        <w:t>记录</w:t>
      </w:r>
      <w:r>
        <w:rPr>
          <w:rFonts w:hint="eastAsia" w:ascii="楷体" w:hAnsi="楷体" w:eastAsia="楷体"/>
          <w:bCs/>
          <w:sz w:val="21"/>
          <w:szCs w:val="21"/>
        </w:rPr>
        <w:t>及</w:t>
      </w:r>
      <w:r>
        <w:rPr>
          <w:rFonts w:ascii="楷体" w:hAnsi="楷体" w:eastAsia="楷体"/>
          <w:bCs/>
          <w:sz w:val="21"/>
          <w:szCs w:val="21"/>
        </w:rPr>
        <w:t>签署页，</w:t>
      </w:r>
      <w:r>
        <w:rPr>
          <w:rFonts w:hint="eastAsia" w:ascii="楷体" w:hAnsi="楷体" w:eastAsia="楷体"/>
          <w:bCs/>
          <w:sz w:val="21"/>
          <w:szCs w:val="21"/>
        </w:rPr>
        <w:t>保持</w:t>
      </w:r>
      <w:r>
        <w:rPr>
          <w:rFonts w:ascii="楷体" w:hAnsi="楷体" w:eastAsia="楷体"/>
          <w:bCs/>
          <w:sz w:val="21"/>
          <w:szCs w:val="21"/>
        </w:rPr>
        <w:t>可</w:t>
      </w:r>
      <w:r>
        <w:rPr>
          <w:rFonts w:hint="eastAsia" w:ascii="楷体" w:hAnsi="楷体" w:eastAsia="楷体"/>
          <w:bCs/>
          <w:sz w:val="21"/>
          <w:szCs w:val="21"/>
        </w:rPr>
        <w:t>追溯性；</w:t>
      </w:r>
    </w:p>
    <w:p w14:paraId="17F0C6C5">
      <w:pPr>
        <w:numPr>
          <w:ilvl w:val="0"/>
          <w:numId w:val="5"/>
        </w:numPr>
        <w:spacing w:line="400" w:lineRule="exact"/>
        <w:rPr>
          <w:rFonts w:ascii="楷体" w:hAnsi="楷体" w:eastAsia="楷体"/>
          <w:bCs/>
        </w:rPr>
      </w:pPr>
      <w:r>
        <w:rPr>
          <w:rFonts w:ascii="楷体" w:hAnsi="楷体" w:eastAsia="楷体"/>
          <w:bCs/>
          <w:sz w:val="21"/>
          <w:szCs w:val="21"/>
        </w:rPr>
        <w:t>编制关键过程清单。</w:t>
      </w:r>
    </w:p>
    <w:p w14:paraId="431577F8">
      <w:pPr>
        <w:snapToGrid w:val="0"/>
        <w:spacing w:line="400" w:lineRule="exact"/>
        <w:ind w:firstLine="420" w:firstLineChars="200"/>
        <w:rPr>
          <w:rFonts w:ascii="楷体" w:hAnsi="楷体" w:eastAsia="楷体"/>
          <w:bCs/>
          <w:color w:val="000000"/>
          <w:sz w:val="21"/>
          <w:szCs w:val="21"/>
        </w:rPr>
      </w:pPr>
      <w:r>
        <w:rPr>
          <w:rFonts w:hint="eastAsia" w:ascii="楷体" w:hAnsi="楷体" w:eastAsia="楷体"/>
          <w:bCs/>
          <w:color w:val="000000"/>
          <w:sz w:val="21"/>
          <w:szCs w:val="21"/>
        </w:rPr>
        <w:t>如在外包研制合同中有明确要求控制的关键过程，供方必须提供关键过程的控制记录。</w:t>
      </w:r>
    </w:p>
    <w:p w14:paraId="45F0660D">
      <w:pPr>
        <w:autoSpaceDE w:val="0"/>
        <w:autoSpaceDN w:val="0"/>
        <w:adjustRightInd w:val="0"/>
        <w:snapToGrid w:val="0"/>
        <w:spacing w:line="400" w:lineRule="exact"/>
        <w:rPr>
          <w:rFonts w:ascii="宋体" w:hAnsi="宋体"/>
          <w:sz w:val="21"/>
          <w:szCs w:val="21"/>
        </w:rPr>
      </w:pPr>
    </w:p>
    <w:p w14:paraId="4CA75F00">
      <w:pPr>
        <w:pStyle w:val="3"/>
        <w:spacing w:before="120" w:beforeLines="50" w:after="120" w:afterLines="50" w:line="400" w:lineRule="exact"/>
        <w:rPr>
          <w:rFonts w:ascii="宋体" w:hAnsi="宋体" w:eastAsia="宋体"/>
          <w:b w:val="0"/>
          <w:bCs w:val="0"/>
        </w:rPr>
      </w:pPr>
      <w:bookmarkStart w:id="127" w:name="_Toc521509465"/>
      <w:bookmarkStart w:id="128" w:name="_Toc509844131"/>
      <w:bookmarkStart w:id="129" w:name="_Toc509845153"/>
      <w:bookmarkStart w:id="130" w:name="_Toc509844821"/>
      <w:r>
        <w:rPr>
          <w:rFonts w:ascii="宋体" w:hAnsi="宋体" w:eastAsia="宋体"/>
          <w:sz w:val="24"/>
          <w:szCs w:val="24"/>
        </w:rPr>
        <w:t xml:space="preserve">8.6 </w:t>
      </w:r>
      <w:r>
        <w:rPr>
          <w:rFonts w:hint="eastAsia" w:ascii="宋体" w:hAnsi="宋体" w:eastAsia="宋体"/>
          <w:sz w:val="24"/>
          <w:szCs w:val="24"/>
        </w:rPr>
        <w:t>产品和服务的放行</w:t>
      </w:r>
      <w:bookmarkEnd w:id="127"/>
      <w:bookmarkEnd w:id="128"/>
      <w:bookmarkEnd w:id="129"/>
      <w:bookmarkEnd w:id="130"/>
    </w:p>
    <w:p w14:paraId="36948752">
      <w:pPr>
        <w:spacing w:line="400" w:lineRule="exact"/>
        <w:ind w:firstLine="420" w:firstLineChars="200"/>
        <w:rPr>
          <w:sz w:val="21"/>
          <w:szCs w:val="21"/>
        </w:rPr>
      </w:pPr>
      <w:r>
        <w:rPr>
          <w:rFonts w:hint="eastAsia" w:ascii="宋体" w:hAnsi="宋体"/>
          <w:sz w:val="21"/>
          <w:szCs w:val="21"/>
        </w:rPr>
        <w:t>质量管理部</w:t>
      </w:r>
      <w:r>
        <w:rPr>
          <w:rFonts w:hint="eastAsia"/>
          <w:sz w:val="21"/>
          <w:szCs w:val="21"/>
        </w:rPr>
        <w:t>对产品所使用的配置、部件、原材料、设备、中间产品、最终产品的测试、试验或检验做出规定，编制测试、试验或检验标准和方法，确保规定的测量和监控得以实施，以保证产品质量。</w:t>
      </w:r>
    </w:p>
    <w:p w14:paraId="4C752E53">
      <w:pPr>
        <w:widowControl/>
        <w:spacing w:line="400" w:lineRule="exact"/>
        <w:ind w:firstLine="420" w:firstLineChars="200"/>
        <w:jc w:val="left"/>
        <w:rPr>
          <w:rFonts w:ascii="宋体" w:hAnsi="宋体"/>
        </w:rPr>
      </w:pPr>
      <w:r>
        <w:rPr>
          <w:rFonts w:hint="eastAsia"/>
          <w:sz w:val="21"/>
          <w:szCs w:val="21"/>
        </w:rPr>
        <w:t>产品和服务的放行由质量管理部归口，研发部配合实施，应对产品的特性进行测试，以验证产品要求已得到满足，</w:t>
      </w:r>
      <w:r>
        <w:rPr>
          <w:rFonts w:hint="eastAsia" w:ascii="宋体" w:hAnsi="宋体"/>
          <w:color w:val="000000"/>
          <w:sz w:val="21"/>
          <w:szCs w:val="21"/>
        </w:rPr>
        <w:t>质量管理部</w:t>
      </w:r>
      <w:r>
        <w:rPr>
          <w:rFonts w:hint="eastAsia"/>
          <w:sz w:val="21"/>
          <w:szCs w:val="21"/>
        </w:rPr>
        <w:t>保留相应的成文信息。</w:t>
      </w:r>
      <w:r>
        <w:rPr>
          <w:rFonts w:hint="eastAsia" w:ascii="宋体" w:hAnsi="宋体"/>
          <w:color w:val="000000"/>
          <w:sz w:val="21"/>
          <w:szCs w:val="21"/>
        </w:rPr>
        <w:t>包括：</w:t>
      </w:r>
    </w:p>
    <w:p w14:paraId="20990794">
      <w:pPr>
        <w:spacing w:line="400" w:lineRule="exact"/>
        <w:ind w:firstLine="420" w:firstLineChars="200"/>
        <w:rPr>
          <w:rFonts w:ascii="宋体" w:hAnsi="宋体"/>
          <w:color w:val="000000"/>
          <w:sz w:val="21"/>
          <w:szCs w:val="21"/>
        </w:rPr>
      </w:pPr>
      <w:r>
        <w:rPr>
          <w:rFonts w:hint="eastAsia" w:ascii="宋体" w:hAnsi="宋体"/>
          <w:color w:val="000000"/>
          <w:sz w:val="21"/>
          <w:szCs w:val="21"/>
        </w:rPr>
        <w:t>a)符合接收准则的证据（如：检验和测试记录等）；</w:t>
      </w:r>
    </w:p>
    <w:p w14:paraId="2BA25DA1">
      <w:pPr>
        <w:spacing w:line="400" w:lineRule="exact"/>
        <w:ind w:firstLine="420" w:firstLineChars="200"/>
        <w:rPr>
          <w:sz w:val="21"/>
          <w:szCs w:val="21"/>
        </w:rPr>
      </w:pPr>
      <w:r>
        <w:rPr>
          <w:rFonts w:hint="eastAsia" w:ascii="宋体" w:hAnsi="宋体"/>
          <w:color w:val="000000"/>
          <w:sz w:val="21"/>
          <w:szCs w:val="21"/>
        </w:rPr>
        <w:t>b)提供对有权放行产品以交付给顾客的人员的可追溯性信息。</w:t>
      </w:r>
    </w:p>
    <w:p w14:paraId="3AEF485F">
      <w:pPr>
        <w:spacing w:line="400" w:lineRule="exact"/>
        <w:ind w:firstLine="420" w:firstLineChars="200"/>
        <w:rPr>
          <w:sz w:val="21"/>
          <w:szCs w:val="21"/>
        </w:rPr>
      </w:pPr>
      <w:r>
        <w:rPr>
          <w:rFonts w:hint="eastAsia" w:ascii="宋体" w:hAnsi="宋体"/>
          <w:color w:val="000000"/>
          <w:sz w:val="21"/>
          <w:szCs w:val="21"/>
        </w:rPr>
        <w:t>除非得到有关授权人员的批准，适用时得到顾客的批准，否则在策划安排的符合性验证圆满完成前，不应向顾客放行产品和交付服务。</w:t>
      </w:r>
    </w:p>
    <w:p w14:paraId="42C2E737">
      <w:pPr>
        <w:spacing w:line="400" w:lineRule="exact"/>
        <w:ind w:firstLine="420" w:firstLineChars="200"/>
        <w:rPr>
          <w:rFonts w:eastAsia="黑体"/>
          <w:sz w:val="21"/>
          <w:szCs w:val="21"/>
        </w:rPr>
      </w:pPr>
      <w:r>
        <w:rPr>
          <w:rFonts w:hint="eastAsia"/>
          <w:sz w:val="21"/>
          <w:szCs w:val="21"/>
        </w:rPr>
        <w:t>公司产品在检验未完成前需要例外放行时，必须经过顾客的同意，并对放行的产品进行标识和记录，以使该产品能够实现可追溯和进行质量跟踪及追回。</w:t>
      </w:r>
    </w:p>
    <w:p w14:paraId="0A706DD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在提交</w:t>
      </w:r>
      <w:r>
        <w:rPr>
          <w:rFonts w:ascii="楷体" w:hAnsi="楷体" w:eastAsia="楷体"/>
          <w:bCs/>
          <w:sz w:val="21"/>
          <w:szCs w:val="21"/>
        </w:rPr>
        <w:t>顾客验收前，公司应</w:t>
      </w:r>
      <w:r>
        <w:rPr>
          <w:rFonts w:hint="eastAsia" w:ascii="楷体" w:hAnsi="楷体" w:eastAsia="楷体"/>
          <w:bCs/>
          <w:sz w:val="21"/>
          <w:szCs w:val="21"/>
        </w:rPr>
        <w:t>对</w:t>
      </w:r>
      <w:r>
        <w:rPr>
          <w:rFonts w:ascii="楷体" w:hAnsi="楷体" w:eastAsia="楷体"/>
          <w:bCs/>
          <w:sz w:val="21"/>
          <w:szCs w:val="21"/>
        </w:rPr>
        <w:t>交付</w:t>
      </w:r>
      <w:r>
        <w:rPr>
          <w:rFonts w:hint="eastAsia" w:ascii="楷体" w:hAnsi="楷体" w:eastAsia="楷体"/>
          <w:bCs/>
          <w:sz w:val="21"/>
          <w:szCs w:val="21"/>
        </w:rPr>
        <w:t>的</w:t>
      </w:r>
      <w:r>
        <w:rPr>
          <w:rFonts w:ascii="楷体" w:hAnsi="楷体" w:eastAsia="楷体"/>
          <w:bCs/>
          <w:sz w:val="21"/>
          <w:szCs w:val="21"/>
        </w:rPr>
        <w:t>产品进行</w:t>
      </w:r>
      <w:r>
        <w:rPr>
          <w:rFonts w:hint="eastAsia" w:ascii="楷体" w:hAnsi="楷体" w:eastAsia="楷体"/>
          <w:bCs/>
          <w:sz w:val="21"/>
          <w:szCs w:val="21"/>
        </w:rPr>
        <w:t>测试</w:t>
      </w:r>
      <w:r>
        <w:rPr>
          <w:rFonts w:ascii="楷体" w:hAnsi="楷体" w:eastAsia="楷体"/>
          <w:bCs/>
          <w:sz w:val="21"/>
          <w:szCs w:val="21"/>
        </w:rPr>
        <w:t>和检验，确认其符合接收准则</w:t>
      </w:r>
      <w:r>
        <w:rPr>
          <w:rFonts w:hint="eastAsia" w:ascii="楷体" w:hAnsi="楷体" w:eastAsia="楷体"/>
          <w:bCs/>
          <w:sz w:val="21"/>
          <w:szCs w:val="21"/>
        </w:rPr>
        <w:t>，</w:t>
      </w:r>
      <w:r>
        <w:rPr>
          <w:rFonts w:ascii="楷体" w:hAnsi="楷体" w:eastAsia="楷体"/>
          <w:bCs/>
          <w:sz w:val="21"/>
          <w:szCs w:val="21"/>
        </w:rPr>
        <w:t>并</w:t>
      </w:r>
      <w:r>
        <w:rPr>
          <w:rFonts w:hint="eastAsia" w:ascii="楷体" w:hAnsi="楷体" w:eastAsia="楷体"/>
          <w:bCs/>
          <w:sz w:val="21"/>
          <w:szCs w:val="21"/>
        </w:rPr>
        <w:t>在</w:t>
      </w:r>
      <w:r>
        <w:rPr>
          <w:rFonts w:ascii="楷体" w:hAnsi="楷体" w:eastAsia="楷体"/>
          <w:bCs/>
          <w:sz w:val="21"/>
          <w:szCs w:val="21"/>
        </w:rPr>
        <w:t>交付时提供相应的</w:t>
      </w:r>
      <w:r>
        <w:rPr>
          <w:rFonts w:hint="eastAsia" w:ascii="楷体" w:hAnsi="楷体" w:eastAsia="楷体"/>
          <w:bCs/>
          <w:sz w:val="21"/>
          <w:szCs w:val="21"/>
        </w:rPr>
        <w:t>软件</w:t>
      </w:r>
      <w:r>
        <w:rPr>
          <w:rFonts w:ascii="楷体" w:hAnsi="楷体" w:eastAsia="楷体"/>
          <w:bCs/>
          <w:sz w:val="21"/>
          <w:szCs w:val="21"/>
        </w:rPr>
        <w:t>测试报告和产品检验报告。</w:t>
      </w:r>
    </w:p>
    <w:p w14:paraId="4ADAB9AE">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交付</w:t>
      </w:r>
      <w:r>
        <w:rPr>
          <w:rFonts w:ascii="楷体" w:hAnsi="楷体" w:eastAsia="楷体"/>
          <w:bCs/>
          <w:sz w:val="21"/>
          <w:szCs w:val="21"/>
        </w:rPr>
        <w:t>的产品验收合格后，公司应按合同或技术协议要求</w:t>
      </w:r>
      <w:r>
        <w:rPr>
          <w:rFonts w:hint="eastAsia" w:ascii="楷体" w:hAnsi="楷体" w:eastAsia="楷体"/>
          <w:bCs/>
          <w:sz w:val="21"/>
          <w:szCs w:val="21"/>
        </w:rPr>
        <w:t>提供</w:t>
      </w:r>
      <w:r>
        <w:rPr>
          <w:rFonts w:ascii="楷体" w:hAnsi="楷体" w:eastAsia="楷体"/>
          <w:bCs/>
          <w:sz w:val="21"/>
          <w:szCs w:val="21"/>
        </w:rPr>
        <w:t>有效技术文件、配套附件等保障资源。</w:t>
      </w:r>
    </w:p>
    <w:p w14:paraId="04D56BB0">
      <w:pPr>
        <w:spacing w:line="400" w:lineRule="exact"/>
        <w:ind w:firstLine="420" w:firstLineChars="200"/>
        <w:rPr>
          <w:rFonts w:ascii="宋体" w:hAnsi="宋体"/>
          <w:bCs/>
          <w:color w:val="000000"/>
          <w:sz w:val="21"/>
          <w:szCs w:val="21"/>
        </w:rPr>
      </w:pPr>
      <w:r>
        <w:rPr>
          <w:rFonts w:hint="eastAsia" w:ascii="楷体" w:hAnsi="楷体" w:eastAsia="楷体"/>
          <w:bCs/>
          <w:sz w:val="21"/>
          <w:szCs w:val="21"/>
        </w:rPr>
        <w:t>当产品未完成所有要求的验证活动，需例外放行时，应按规定履行审批手续，并征得顾客同意，并进行标识和记录，确保能追回和更换产品。</w:t>
      </w:r>
    </w:p>
    <w:p w14:paraId="3FE52C60">
      <w:pPr>
        <w:widowControl/>
        <w:spacing w:line="400" w:lineRule="exact"/>
        <w:ind w:firstLine="420" w:firstLineChars="200"/>
        <w:jc w:val="left"/>
        <w:rPr>
          <w:rFonts w:ascii="宋体" w:hAnsi="宋体"/>
          <w:sz w:val="21"/>
          <w:szCs w:val="21"/>
        </w:rPr>
      </w:pPr>
    </w:p>
    <w:p w14:paraId="487D9C8F">
      <w:pPr>
        <w:pStyle w:val="3"/>
        <w:spacing w:before="120" w:beforeLines="50" w:after="120" w:afterLines="50" w:line="400" w:lineRule="exact"/>
        <w:rPr>
          <w:rFonts w:ascii="宋体" w:hAnsi="宋体" w:eastAsia="宋体"/>
          <w:sz w:val="21"/>
          <w:szCs w:val="21"/>
        </w:rPr>
      </w:pPr>
      <w:bookmarkStart w:id="131" w:name="_Toc509844822"/>
      <w:bookmarkStart w:id="132" w:name="_Toc509844132"/>
      <w:bookmarkStart w:id="133" w:name="_Toc521509466"/>
      <w:bookmarkStart w:id="134" w:name="_Toc509845154"/>
      <w:r>
        <w:rPr>
          <w:rFonts w:ascii="宋体" w:hAnsi="宋体" w:eastAsia="宋体"/>
          <w:sz w:val="24"/>
          <w:szCs w:val="24"/>
        </w:rPr>
        <w:t xml:space="preserve">8.7 </w:t>
      </w:r>
      <w:r>
        <w:rPr>
          <w:rFonts w:hint="eastAsia" w:ascii="宋体" w:hAnsi="宋体" w:eastAsia="宋体"/>
          <w:sz w:val="24"/>
          <w:szCs w:val="24"/>
        </w:rPr>
        <w:t>不合格输出的控制</w:t>
      </w:r>
      <w:bookmarkEnd w:id="131"/>
      <w:bookmarkEnd w:id="132"/>
      <w:bookmarkEnd w:id="133"/>
      <w:bookmarkEnd w:id="134"/>
    </w:p>
    <w:p w14:paraId="61DE64DF">
      <w:pPr>
        <w:spacing w:line="400" w:lineRule="exact"/>
        <w:ind w:firstLine="420" w:firstLineChars="200"/>
        <w:rPr>
          <w:sz w:val="21"/>
          <w:szCs w:val="21"/>
        </w:rPr>
      </w:pPr>
      <w:r>
        <w:rPr>
          <w:rFonts w:hint="eastAsia" w:hAnsi="宋体"/>
          <w:sz w:val="21"/>
          <w:szCs w:val="21"/>
        </w:rPr>
        <w:t>不合格输出包括经过测</w:t>
      </w:r>
      <w:r>
        <w:rPr>
          <w:rFonts w:hint="eastAsia"/>
          <w:sz w:val="21"/>
          <w:szCs w:val="21"/>
        </w:rPr>
        <w:t>试后发现存在缺陷、故障和失效现象的受控库中的产品以及经过检验后存在不合格项的产品。</w:t>
      </w:r>
      <w:r>
        <w:rPr>
          <w:rFonts w:hAnsi="宋体"/>
          <w:sz w:val="21"/>
          <w:szCs w:val="21"/>
        </w:rPr>
        <w:t>公司应确保不符合要求的产品得到识别和控制，</w:t>
      </w:r>
      <w:r>
        <w:rPr>
          <w:rFonts w:hint="eastAsia" w:hAnsi="宋体"/>
          <w:sz w:val="21"/>
          <w:szCs w:val="21"/>
        </w:rPr>
        <w:t>并</w:t>
      </w:r>
      <w:r>
        <w:rPr>
          <w:rFonts w:hAnsi="宋体"/>
          <w:sz w:val="21"/>
          <w:szCs w:val="21"/>
        </w:rPr>
        <w:t>及时对其进行隔离、标识、记录、分析</w:t>
      </w:r>
      <w:r>
        <w:rPr>
          <w:rFonts w:hint="eastAsia" w:hAnsi="宋体"/>
          <w:sz w:val="21"/>
          <w:szCs w:val="21"/>
        </w:rPr>
        <w:t>和</w:t>
      </w:r>
      <w:r>
        <w:rPr>
          <w:rFonts w:hAnsi="宋体"/>
          <w:sz w:val="21"/>
          <w:szCs w:val="21"/>
        </w:rPr>
        <w:t>处理，以防止其非预期的使用或交付。</w:t>
      </w:r>
      <w:r>
        <w:rPr>
          <w:rFonts w:hint="eastAsia" w:hAnsi="宋体"/>
          <w:sz w:val="21"/>
          <w:szCs w:val="21"/>
        </w:rPr>
        <w:t>公司按</w:t>
      </w:r>
      <w:r>
        <w:rPr>
          <w:rFonts w:hint="eastAsia"/>
          <w:sz w:val="21"/>
          <w:szCs w:val="21"/>
        </w:rPr>
        <w:t>GJB 571《不合格品管理》的要求形成</w:t>
      </w:r>
      <w:r>
        <w:rPr>
          <w:sz w:val="21"/>
          <w:szCs w:val="21"/>
        </w:rPr>
        <w:t>《不合格</w:t>
      </w:r>
      <w:r>
        <w:rPr>
          <w:rFonts w:hint="eastAsia"/>
          <w:sz w:val="21"/>
          <w:szCs w:val="21"/>
        </w:rPr>
        <w:t>输出</w:t>
      </w:r>
      <w:r>
        <w:rPr>
          <w:sz w:val="21"/>
          <w:szCs w:val="21"/>
        </w:rPr>
        <w:t>控制程序》</w:t>
      </w:r>
      <w:r>
        <w:rPr>
          <w:rFonts w:hint="eastAsia"/>
          <w:sz w:val="21"/>
          <w:szCs w:val="21"/>
        </w:rPr>
        <w:t>（HY</w:t>
      </w:r>
      <w:r>
        <w:rPr>
          <w:sz w:val="21"/>
          <w:szCs w:val="21"/>
        </w:rPr>
        <w:t>/</w:t>
      </w:r>
      <w:r>
        <w:rPr>
          <w:rFonts w:hint="eastAsia"/>
          <w:sz w:val="21"/>
          <w:szCs w:val="21"/>
        </w:rPr>
        <w:t>CX</w:t>
      </w:r>
      <w:r>
        <w:rPr>
          <w:sz w:val="21"/>
          <w:szCs w:val="21"/>
        </w:rPr>
        <w:t>-</w:t>
      </w:r>
      <w:r>
        <w:rPr>
          <w:rFonts w:hint="eastAsia"/>
          <w:sz w:val="21"/>
          <w:szCs w:val="21"/>
        </w:rPr>
        <w:t>12</w:t>
      </w:r>
      <w:r>
        <w:rPr>
          <w:sz w:val="21"/>
          <w:szCs w:val="21"/>
        </w:rPr>
        <w:t>-202</w:t>
      </w:r>
      <w:r>
        <w:rPr>
          <w:rFonts w:hint="eastAsia"/>
          <w:sz w:val="21"/>
          <w:szCs w:val="21"/>
        </w:rPr>
        <w:t>2），</w:t>
      </w:r>
      <w:r>
        <w:rPr>
          <w:sz w:val="21"/>
          <w:szCs w:val="21"/>
        </w:rPr>
        <w:t>规定</w:t>
      </w:r>
      <w:r>
        <w:rPr>
          <w:rFonts w:hint="eastAsia"/>
          <w:sz w:val="21"/>
          <w:szCs w:val="21"/>
        </w:rPr>
        <w:t>了</w:t>
      </w:r>
      <w:r>
        <w:rPr>
          <w:sz w:val="21"/>
          <w:szCs w:val="21"/>
        </w:rPr>
        <w:t>不合格控制以及</w:t>
      </w:r>
      <w:r>
        <w:rPr>
          <w:rFonts w:hAnsi="宋体"/>
          <w:sz w:val="21"/>
          <w:szCs w:val="21"/>
        </w:rPr>
        <w:t>不合格处置的有关职责和权限。</w:t>
      </w:r>
      <w:r>
        <w:rPr>
          <w:sz w:val="21"/>
          <w:szCs w:val="21"/>
        </w:rPr>
        <w:t xml:space="preserve"> </w:t>
      </w:r>
    </w:p>
    <w:p w14:paraId="635A14E7">
      <w:pPr>
        <w:spacing w:line="400" w:lineRule="exact"/>
        <w:ind w:firstLine="420" w:firstLineChars="200"/>
        <w:rPr>
          <w:sz w:val="21"/>
          <w:szCs w:val="21"/>
        </w:rPr>
      </w:pPr>
      <w:r>
        <w:rPr>
          <w:rFonts w:hAnsi="宋体"/>
          <w:sz w:val="21"/>
          <w:szCs w:val="21"/>
        </w:rPr>
        <w:t>公司通过下列途径处置不合格品：</w:t>
      </w:r>
      <w:r>
        <w:rPr>
          <w:sz w:val="21"/>
          <w:szCs w:val="21"/>
        </w:rPr>
        <w:t xml:space="preserve"> </w:t>
      </w:r>
    </w:p>
    <w:p w14:paraId="6C6DDDC9">
      <w:pPr>
        <w:numPr>
          <w:ilvl w:val="0"/>
          <w:numId w:val="6"/>
        </w:numPr>
        <w:spacing w:line="400" w:lineRule="exact"/>
        <w:ind w:left="0" w:firstLine="567"/>
        <w:rPr>
          <w:rFonts w:ascii="宋体" w:hAnsi="宋体"/>
          <w:sz w:val="21"/>
          <w:szCs w:val="21"/>
        </w:rPr>
      </w:pPr>
      <w:r>
        <w:rPr>
          <w:rFonts w:ascii="宋体" w:hAnsi="宋体"/>
          <w:sz w:val="21"/>
          <w:szCs w:val="21"/>
        </w:rPr>
        <w:t>经过公司</w:t>
      </w:r>
      <w:r>
        <w:rPr>
          <w:rFonts w:hint="eastAsia" w:ascii="宋体" w:hAnsi="宋体"/>
          <w:sz w:val="21"/>
          <w:szCs w:val="21"/>
        </w:rPr>
        <w:t>软件</w:t>
      </w:r>
      <w:r>
        <w:rPr>
          <w:rFonts w:ascii="宋体" w:hAnsi="宋体"/>
          <w:sz w:val="21"/>
          <w:szCs w:val="21"/>
        </w:rPr>
        <w:t xml:space="preserve">缺陷、故障和失效审理组的确认和分析，明确造成问题的原因，责成相关人员，消除发现的软件缺陷、故障和失效问题； </w:t>
      </w:r>
    </w:p>
    <w:p w14:paraId="50066FCC">
      <w:pPr>
        <w:numPr>
          <w:ilvl w:val="0"/>
          <w:numId w:val="6"/>
        </w:numPr>
        <w:spacing w:line="400" w:lineRule="exact"/>
        <w:rPr>
          <w:rFonts w:ascii="宋体" w:hAnsi="宋体"/>
          <w:sz w:val="21"/>
          <w:szCs w:val="21"/>
        </w:rPr>
      </w:pPr>
      <w:r>
        <w:rPr>
          <w:rFonts w:hint="eastAsia" w:ascii="宋体" w:hAnsi="宋体"/>
          <w:sz w:val="21"/>
          <w:szCs w:val="21"/>
        </w:rPr>
        <w:t>经</w:t>
      </w:r>
      <w:r>
        <w:rPr>
          <w:rFonts w:ascii="宋体" w:hAnsi="宋体"/>
          <w:sz w:val="21"/>
          <w:szCs w:val="21"/>
        </w:rPr>
        <w:t>顾客同意</w:t>
      </w:r>
      <w:r>
        <w:rPr>
          <w:rFonts w:hint="eastAsia" w:ascii="宋体" w:hAnsi="宋体"/>
          <w:sz w:val="21"/>
          <w:szCs w:val="21"/>
        </w:rPr>
        <w:t>，</w:t>
      </w:r>
      <w:r>
        <w:rPr>
          <w:rFonts w:ascii="宋体" w:hAnsi="宋体"/>
          <w:sz w:val="21"/>
          <w:szCs w:val="21"/>
        </w:rPr>
        <w:t>总经理批准实施后，让步使用、放行或接收不合格品；</w:t>
      </w:r>
    </w:p>
    <w:p w14:paraId="3C4DE9FD">
      <w:pPr>
        <w:numPr>
          <w:ilvl w:val="0"/>
          <w:numId w:val="6"/>
        </w:numPr>
        <w:spacing w:line="400" w:lineRule="exact"/>
        <w:rPr>
          <w:rFonts w:ascii="宋体" w:hAnsi="宋体"/>
          <w:sz w:val="21"/>
          <w:szCs w:val="21"/>
        </w:rPr>
      </w:pPr>
      <w:r>
        <w:rPr>
          <w:rFonts w:ascii="宋体" w:hAnsi="宋体"/>
          <w:sz w:val="21"/>
          <w:szCs w:val="21"/>
        </w:rPr>
        <w:t>采取措施，防止不合格品</w:t>
      </w:r>
      <w:r>
        <w:rPr>
          <w:rFonts w:hint="eastAsia" w:ascii="宋体" w:hAnsi="宋体"/>
          <w:sz w:val="21"/>
          <w:szCs w:val="21"/>
        </w:rPr>
        <w:t>非</w:t>
      </w:r>
      <w:r>
        <w:rPr>
          <w:rFonts w:ascii="宋体" w:hAnsi="宋体"/>
          <w:sz w:val="21"/>
          <w:szCs w:val="21"/>
        </w:rPr>
        <w:t xml:space="preserve">预期的使用或应用场合与方式，避免发生故障； </w:t>
      </w:r>
    </w:p>
    <w:p w14:paraId="4ADF1E87">
      <w:pPr>
        <w:numPr>
          <w:ilvl w:val="0"/>
          <w:numId w:val="6"/>
        </w:numPr>
        <w:spacing w:line="400" w:lineRule="exact"/>
        <w:rPr>
          <w:sz w:val="21"/>
          <w:szCs w:val="21"/>
        </w:rPr>
      </w:pPr>
      <w:r>
        <w:rPr>
          <w:rFonts w:ascii="宋体" w:hAnsi="宋体"/>
          <w:sz w:val="21"/>
          <w:szCs w:val="21"/>
        </w:rPr>
        <w:t>当在交付或开始使用后发现产品不合格时，公司应采取与不合格的影响或潜在影响的</w:t>
      </w:r>
    </w:p>
    <w:p w14:paraId="0F5D6311">
      <w:pPr>
        <w:spacing w:line="400" w:lineRule="exact"/>
        <w:ind w:firstLine="420" w:firstLineChars="200"/>
        <w:rPr>
          <w:sz w:val="21"/>
          <w:szCs w:val="21"/>
        </w:rPr>
      </w:pPr>
    </w:p>
    <w:p w14:paraId="5CFA4BC6">
      <w:pPr>
        <w:spacing w:line="400" w:lineRule="exact"/>
        <w:ind w:firstLine="420" w:firstLineChars="200"/>
        <w:rPr>
          <w:sz w:val="21"/>
          <w:szCs w:val="21"/>
        </w:rPr>
      </w:pPr>
    </w:p>
    <w:p w14:paraId="30DF34CA">
      <w:pPr>
        <w:spacing w:line="400" w:lineRule="exact"/>
        <w:ind w:firstLine="420" w:firstLineChars="200"/>
        <w:rPr>
          <w:sz w:val="21"/>
          <w:szCs w:val="21"/>
        </w:rPr>
      </w:pPr>
    </w:p>
    <w:p w14:paraId="04DEB598">
      <w:pPr>
        <w:spacing w:line="400" w:lineRule="exact"/>
        <w:ind w:firstLine="420" w:firstLineChars="200"/>
        <w:rPr>
          <w:sz w:val="21"/>
          <w:szCs w:val="21"/>
        </w:rPr>
      </w:pPr>
      <w:r>
        <w:rPr>
          <w:rFonts w:ascii="宋体" w:hAnsi="宋体"/>
          <w:sz w:val="21"/>
          <w:szCs w:val="21"/>
        </w:rPr>
        <w:t>程度相适应的措施。</w:t>
      </w:r>
    </w:p>
    <w:p w14:paraId="6EA88D8E">
      <w:pPr>
        <w:spacing w:line="400" w:lineRule="exact"/>
        <w:ind w:firstLine="420" w:firstLineChars="200"/>
        <w:rPr>
          <w:rFonts w:hAnsi="宋体"/>
          <w:sz w:val="21"/>
          <w:szCs w:val="21"/>
        </w:rPr>
      </w:pPr>
      <w:r>
        <w:rPr>
          <w:rFonts w:hint="eastAsia"/>
          <w:sz w:val="21"/>
          <w:szCs w:val="21"/>
        </w:rPr>
        <w:t>对于不合格产品，由软件分析人员确定造成不合格品的原因，形成分析报告。如果由于设计或者开发原因造成受控库中的不合格产品，须对开发库中相应的软件实施修改，并实施产品内部管理版本控制，进行标识，</w:t>
      </w:r>
      <w:r>
        <w:rPr>
          <w:rFonts w:hAnsi="宋体"/>
          <w:sz w:val="21"/>
          <w:szCs w:val="21"/>
        </w:rPr>
        <w:t>在不合格品得到纠正之后应对其再次进行验证，以证实修改后版本符合顾客要求。将验证后的开发库中的软件再次办理入受控库流程。</w:t>
      </w:r>
      <w:r>
        <w:rPr>
          <w:rFonts w:hint="eastAsia" w:hAnsi="宋体"/>
          <w:sz w:val="21"/>
          <w:szCs w:val="21"/>
        </w:rPr>
        <w:t>由于测试原因造成的</w:t>
      </w:r>
      <w:r>
        <w:rPr>
          <w:rFonts w:hint="eastAsia"/>
          <w:sz w:val="21"/>
          <w:szCs w:val="21"/>
        </w:rPr>
        <w:t>受</w:t>
      </w:r>
      <w:r>
        <w:rPr>
          <w:rFonts w:hint="eastAsia" w:hAnsi="宋体"/>
          <w:sz w:val="21"/>
          <w:szCs w:val="21"/>
        </w:rPr>
        <w:t>控库中的不合格产品，须对软件测试用例实施产品内部管理版本控制，进行标识。如果</w:t>
      </w:r>
      <w:r>
        <w:rPr>
          <w:rFonts w:hAnsi="宋体"/>
          <w:sz w:val="21"/>
          <w:szCs w:val="21"/>
        </w:rPr>
        <w:t>生产的产品由于病毒感染、损毁、误码、缺漏而被认定为不合格产品，须进行标识。</w:t>
      </w:r>
    </w:p>
    <w:p w14:paraId="37C16509">
      <w:pPr>
        <w:spacing w:line="400" w:lineRule="exact"/>
        <w:ind w:firstLine="420" w:firstLineChars="200"/>
        <w:rPr>
          <w:sz w:val="21"/>
          <w:szCs w:val="21"/>
        </w:rPr>
      </w:pPr>
      <w:r>
        <w:rPr>
          <w:rFonts w:hAnsi="宋体"/>
          <w:sz w:val="21"/>
          <w:szCs w:val="21"/>
        </w:rPr>
        <w:t>应保持不合格的性质的记录以及随后所采取的任何措施的记录，包括所批准的让步的记录。</w:t>
      </w:r>
      <w:r>
        <w:rPr>
          <w:sz w:val="21"/>
          <w:szCs w:val="21"/>
        </w:rPr>
        <w:t xml:space="preserve"> </w:t>
      </w:r>
    </w:p>
    <w:p w14:paraId="39825EAA">
      <w:pPr>
        <w:spacing w:line="400" w:lineRule="exact"/>
        <w:ind w:firstLine="420" w:firstLineChars="200"/>
        <w:rPr>
          <w:rFonts w:hAnsi="宋体"/>
          <w:sz w:val="21"/>
          <w:szCs w:val="21"/>
        </w:rPr>
      </w:pPr>
      <w:r>
        <w:rPr>
          <w:rFonts w:hint="eastAsia" w:hAnsi="宋体"/>
          <w:sz w:val="21"/>
          <w:szCs w:val="21"/>
        </w:rPr>
        <w:t>决定返工的不合格品，返工后仍需按规定进行检验。</w:t>
      </w:r>
    </w:p>
    <w:p w14:paraId="3C85E2D1">
      <w:pPr>
        <w:spacing w:line="400" w:lineRule="exact"/>
        <w:ind w:firstLine="420" w:firstLineChars="200"/>
        <w:rPr>
          <w:bCs/>
          <w:sz w:val="21"/>
          <w:szCs w:val="21"/>
        </w:rPr>
      </w:pPr>
      <w:r>
        <w:rPr>
          <w:rFonts w:hint="eastAsia" w:ascii="楷体" w:hAnsi="楷体" w:eastAsia="楷体"/>
          <w:bCs/>
          <w:sz w:val="21"/>
          <w:szCs w:val="21"/>
        </w:rPr>
        <w:t>公司成立不合格品审理委员会及不合格品审理小组。不合格品审理小组负责软件缺陷、故障、失效的审理、不合格品审理以及安全性分析工作。软件开发过程中，测试过程发现的缺陷、故障、失效问题，按规定由软件分析人员（软件缺陷</w:t>
      </w:r>
      <w:r>
        <w:rPr>
          <w:rFonts w:ascii="楷体" w:hAnsi="楷体" w:eastAsia="楷体"/>
          <w:bCs/>
          <w:sz w:val="21"/>
          <w:szCs w:val="21"/>
        </w:rPr>
        <w:t>、故障、</w:t>
      </w:r>
      <w:r>
        <w:rPr>
          <w:rFonts w:hint="eastAsia" w:ascii="楷体" w:hAnsi="楷体" w:eastAsia="楷体"/>
          <w:bCs/>
          <w:sz w:val="21"/>
          <w:szCs w:val="21"/>
        </w:rPr>
        <w:t>失效审理组）进行处理；从产品库出库，软件生产检验过程中发现的问题由不合格品审理小组负责按不合格品进行控制。</w:t>
      </w:r>
      <w:r>
        <w:rPr>
          <w:rFonts w:ascii="楷体" w:hAnsi="楷体" w:eastAsia="楷体"/>
          <w:bCs/>
          <w:sz w:val="21"/>
          <w:szCs w:val="21"/>
        </w:rPr>
        <w:t>审理组独立行使对软件缺陷、故障、失效和不合格产品评审的职权，对不合格品评审的结论不得随意更改，如需更改，必须经总经理书面签字同意。</w:t>
      </w:r>
    </w:p>
    <w:p w14:paraId="784F63F4">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对于</w:t>
      </w:r>
      <w:r>
        <w:rPr>
          <w:rFonts w:ascii="楷体" w:hAnsi="楷体" w:eastAsia="楷体"/>
          <w:bCs/>
          <w:sz w:val="21"/>
          <w:szCs w:val="21"/>
        </w:rPr>
        <w:t>未经顾客授权的让步使用，应征得顾客同意；关键特性不允许让步使用。</w:t>
      </w:r>
    </w:p>
    <w:p w14:paraId="2BDAC1BF">
      <w:pPr>
        <w:spacing w:line="400" w:lineRule="exact"/>
        <w:ind w:firstLine="420" w:firstLineChars="200"/>
        <w:rPr>
          <w:rFonts w:ascii="楷体" w:hAnsi="楷体" w:eastAsia="楷体"/>
          <w:bCs/>
          <w:sz w:val="21"/>
          <w:szCs w:val="21"/>
        </w:rPr>
      </w:pPr>
      <w:r>
        <w:rPr>
          <w:rFonts w:hint="eastAsia" w:ascii="楷体" w:hAnsi="楷体" w:eastAsia="楷体"/>
          <w:bCs/>
          <w:sz w:val="21"/>
          <w:szCs w:val="21"/>
        </w:rPr>
        <w:t xml:space="preserve">参与不合格品审理的人员，须经综合行政部资格确认，由总经理授权，并征得顾客的同意。 </w:t>
      </w:r>
    </w:p>
    <w:p w14:paraId="3D3CDB41">
      <w:pPr>
        <w:spacing w:line="400" w:lineRule="exact"/>
        <w:rPr>
          <w:rFonts w:ascii="宋体" w:hAnsi="宋体" w:cs="宋体"/>
          <w:bCs/>
          <w:sz w:val="21"/>
          <w:szCs w:val="21"/>
        </w:rPr>
      </w:pPr>
      <w:r>
        <w:rPr>
          <w:rFonts w:hint="eastAsia" w:ascii="楷体" w:hAnsi="楷体" w:eastAsia="楷体"/>
          <w:bCs/>
          <w:sz w:val="21"/>
          <w:szCs w:val="21"/>
        </w:rPr>
        <w:t>不合格品的审理结论，仅对当时被审理的不合格品有效，不能作为以后审理不合格品的依据，也不影响顾客对产品的判定。若</w:t>
      </w:r>
      <w:r>
        <w:rPr>
          <w:rFonts w:ascii="楷体" w:hAnsi="楷体" w:eastAsia="楷体"/>
          <w:bCs/>
          <w:sz w:val="21"/>
          <w:szCs w:val="21"/>
        </w:rPr>
        <w:t>改变审理结论，应由</w:t>
      </w:r>
      <w:r>
        <w:rPr>
          <w:rFonts w:hint="eastAsia" w:ascii="楷体" w:hAnsi="楷体" w:eastAsia="楷体"/>
          <w:bCs/>
          <w:sz w:val="21"/>
          <w:szCs w:val="21"/>
        </w:rPr>
        <w:t>总经理签署</w:t>
      </w:r>
      <w:r>
        <w:rPr>
          <w:rFonts w:ascii="楷体" w:hAnsi="楷体" w:eastAsia="楷体"/>
          <w:bCs/>
          <w:sz w:val="21"/>
          <w:szCs w:val="21"/>
        </w:rPr>
        <w:t>书面决定。对</w:t>
      </w:r>
      <w:r>
        <w:rPr>
          <w:rFonts w:hint="eastAsia" w:ascii="楷体" w:hAnsi="楷体" w:eastAsia="楷体"/>
          <w:bCs/>
          <w:sz w:val="21"/>
          <w:szCs w:val="21"/>
        </w:rPr>
        <w:t>顾客</w:t>
      </w:r>
      <w:r>
        <w:rPr>
          <w:rFonts w:ascii="楷体" w:hAnsi="楷体" w:eastAsia="楷体"/>
          <w:bCs/>
          <w:sz w:val="21"/>
          <w:szCs w:val="21"/>
        </w:rPr>
        <w:t>关注的不合格</w:t>
      </w:r>
      <w:r>
        <w:rPr>
          <w:rFonts w:hint="eastAsia" w:ascii="楷体" w:hAnsi="楷体" w:eastAsia="楷体"/>
          <w:bCs/>
          <w:sz w:val="21"/>
          <w:szCs w:val="21"/>
        </w:rPr>
        <w:t>品</w:t>
      </w:r>
      <w:r>
        <w:rPr>
          <w:rFonts w:ascii="楷体" w:hAnsi="楷体" w:eastAsia="楷体"/>
          <w:bCs/>
          <w:sz w:val="21"/>
          <w:szCs w:val="21"/>
        </w:rPr>
        <w:t>审理</w:t>
      </w:r>
      <w:r>
        <w:rPr>
          <w:rFonts w:hint="eastAsia" w:ascii="楷体" w:hAnsi="楷体" w:eastAsia="楷体"/>
          <w:bCs/>
          <w:sz w:val="21"/>
          <w:szCs w:val="21"/>
        </w:rPr>
        <w:t>结论</w:t>
      </w:r>
      <w:r>
        <w:rPr>
          <w:rFonts w:ascii="楷体" w:hAnsi="楷体" w:eastAsia="楷体"/>
          <w:bCs/>
          <w:sz w:val="21"/>
          <w:szCs w:val="21"/>
        </w:rPr>
        <w:t>的更改，应征得顾客同意。</w:t>
      </w:r>
    </w:p>
    <w:p w14:paraId="42400D9A">
      <w:pPr>
        <w:widowControl/>
        <w:spacing w:line="400" w:lineRule="exact"/>
        <w:ind w:firstLine="420" w:firstLineChars="200"/>
        <w:jc w:val="left"/>
        <w:rPr>
          <w:rFonts w:ascii="宋体" w:hAnsi="宋体" w:cs="宋体"/>
          <w:sz w:val="21"/>
          <w:szCs w:val="21"/>
        </w:rPr>
      </w:pPr>
    </w:p>
    <w:p w14:paraId="36DE7A65">
      <w:pPr>
        <w:widowControl/>
        <w:spacing w:line="400" w:lineRule="exact"/>
        <w:ind w:firstLine="420" w:firstLineChars="200"/>
        <w:jc w:val="left"/>
        <w:rPr>
          <w:rFonts w:ascii="宋体" w:hAnsi="宋体" w:cs="宋体"/>
          <w:sz w:val="21"/>
          <w:szCs w:val="21"/>
        </w:rPr>
      </w:pPr>
    </w:p>
    <w:p w14:paraId="56D498D1">
      <w:pPr>
        <w:widowControl/>
        <w:spacing w:line="400" w:lineRule="exact"/>
        <w:ind w:firstLine="420" w:firstLineChars="200"/>
        <w:jc w:val="left"/>
        <w:rPr>
          <w:rFonts w:ascii="宋体" w:hAnsi="宋体" w:cs="宋体"/>
          <w:sz w:val="21"/>
          <w:szCs w:val="21"/>
        </w:rPr>
      </w:pPr>
    </w:p>
    <w:p w14:paraId="5CF463D3">
      <w:pPr>
        <w:widowControl/>
        <w:spacing w:line="400" w:lineRule="exact"/>
        <w:ind w:firstLine="420" w:firstLineChars="200"/>
        <w:jc w:val="left"/>
        <w:rPr>
          <w:rFonts w:ascii="宋体" w:hAnsi="宋体" w:cs="宋体"/>
          <w:sz w:val="21"/>
          <w:szCs w:val="21"/>
        </w:rPr>
      </w:pPr>
    </w:p>
    <w:p w14:paraId="12C876B1">
      <w:pPr>
        <w:widowControl/>
        <w:spacing w:line="400" w:lineRule="exact"/>
        <w:ind w:firstLine="0" w:firstLineChars="0"/>
        <w:jc w:val="left"/>
        <w:rPr>
          <w:rFonts w:ascii="宋体" w:hAnsi="宋体" w:cs="宋体"/>
          <w:sz w:val="21"/>
          <w:szCs w:val="21"/>
        </w:rPr>
      </w:pPr>
    </w:p>
    <w:p w14:paraId="10206617">
      <w:pPr>
        <w:widowControl/>
        <w:spacing w:line="400" w:lineRule="exact"/>
        <w:ind w:firstLine="420" w:firstLineChars="200"/>
        <w:jc w:val="left"/>
        <w:rPr>
          <w:rFonts w:ascii="宋体" w:hAnsi="宋体" w:cs="宋体"/>
          <w:sz w:val="21"/>
          <w:szCs w:val="21"/>
        </w:rPr>
      </w:pPr>
    </w:p>
    <w:p w14:paraId="1B0B3129">
      <w:pPr>
        <w:widowControl/>
        <w:spacing w:line="400" w:lineRule="exact"/>
        <w:ind w:firstLine="420" w:firstLineChars="200"/>
        <w:jc w:val="left"/>
        <w:rPr>
          <w:rFonts w:ascii="宋体" w:hAnsi="宋体" w:cs="宋体"/>
          <w:sz w:val="21"/>
          <w:szCs w:val="21"/>
        </w:rPr>
      </w:pPr>
    </w:p>
    <w:p w14:paraId="09D022B4">
      <w:pPr>
        <w:widowControl/>
        <w:spacing w:line="400" w:lineRule="exact"/>
        <w:ind w:firstLine="420" w:firstLineChars="200"/>
        <w:jc w:val="left"/>
        <w:rPr>
          <w:rFonts w:ascii="宋体" w:hAnsi="宋体" w:cs="宋体"/>
          <w:sz w:val="21"/>
          <w:szCs w:val="21"/>
        </w:rPr>
      </w:pPr>
    </w:p>
    <w:p w14:paraId="43BCB90B">
      <w:pPr>
        <w:widowControl/>
        <w:spacing w:line="400" w:lineRule="exact"/>
        <w:ind w:firstLine="420" w:firstLineChars="200"/>
        <w:jc w:val="left"/>
        <w:rPr>
          <w:rFonts w:ascii="宋体" w:hAnsi="宋体" w:cs="宋体"/>
          <w:sz w:val="21"/>
          <w:szCs w:val="21"/>
        </w:rPr>
      </w:pPr>
    </w:p>
    <w:p w14:paraId="18038C9F">
      <w:pPr>
        <w:pStyle w:val="2"/>
        <w:spacing w:line="400" w:lineRule="exact"/>
        <w:rPr>
          <w:rFonts w:ascii="宋体" w:hAnsi="宋体"/>
          <w:sz w:val="32"/>
          <w:szCs w:val="32"/>
        </w:rPr>
      </w:pPr>
      <w:bookmarkStart w:id="135" w:name="_Toc509844823"/>
      <w:bookmarkStart w:id="136" w:name="_Toc521509467"/>
      <w:bookmarkStart w:id="137" w:name="_Toc509845155"/>
      <w:bookmarkStart w:id="138" w:name="_Toc509844133"/>
      <w:r>
        <w:rPr>
          <w:rFonts w:hint="eastAsia" w:ascii="宋体" w:hAnsi="宋体"/>
          <w:sz w:val="28"/>
          <w:szCs w:val="28"/>
        </w:rPr>
        <w:t>9绩效评价</w:t>
      </w:r>
      <w:bookmarkEnd w:id="135"/>
      <w:bookmarkEnd w:id="136"/>
      <w:bookmarkEnd w:id="137"/>
      <w:bookmarkEnd w:id="138"/>
      <w:bookmarkStart w:id="139" w:name="_Toc495838168"/>
    </w:p>
    <w:p w14:paraId="14E786E1">
      <w:pPr>
        <w:pStyle w:val="3"/>
        <w:spacing w:before="120" w:beforeLines="50" w:after="120" w:afterLines="50" w:line="400" w:lineRule="exact"/>
        <w:rPr>
          <w:rFonts w:ascii="宋体" w:hAnsi="宋体" w:eastAsia="宋体"/>
        </w:rPr>
      </w:pPr>
      <w:bookmarkStart w:id="140" w:name="_Toc509844824"/>
      <w:bookmarkStart w:id="141" w:name="_Toc509845156"/>
      <w:bookmarkStart w:id="142" w:name="_Toc509844134"/>
      <w:bookmarkStart w:id="143" w:name="_Toc521509468"/>
      <w:r>
        <w:rPr>
          <w:rFonts w:ascii="宋体" w:hAnsi="宋体" w:eastAsia="宋体"/>
          <w:sz w:val="24"/>
          <w:szCs w:val="24"/>
        </w:rPr>
        <w:t xml:space="preserve">9.1 </w:t>
      </w:r>
      <w:r>
        <w:rPr>
          <w:rFonts w:hint="eastAsia" w:ascii="宋体" w:hAnsi="宋体" w:eastAsia="宋体"/>
          <w:sz w:val="24"/>
          <w:szCs w:val="24"/>
        </w:rPr>
        <w:t>监视、测量、分析和评价</w:t>
      </w:r>
      <w:bookmarkEnd w:id="139"/>
      <w:bookmarkEnd w:id="140"/>
      <w:bookmarkEnd w:id="141"/>
      <w:bookmarkEnd w:id="142"/>
      <w:bookmarkEnd w:id="143"/>
      <w:r>
        <w:rPr>
          <w:rFonts w:ascii="宋体" w:hAnsi="宋体" w:eastAsia="宋体"/>
          <w:sz w:val="24"/>
          <w:szCs w:val="24"/>
        </w:rPr>
        <w:t xml:space="preserve"> </w:t>
      </w:r>
      <w:bookmarkStart w:id="144" w:name="_Toc495838169"/>
    </w:p>
    <w:p w14:paraId="5421D7BC">
      <w:pPr>
        <w:spacing w:line="400" w:lineRule="exact"/>
        <w:rPr>
          <w:rFonts w:ascii="宋体" w:hAnsi="宋体"/>
          <w:bCs/>
          <w:sz w:val="21"/>
          <w:szCs w:val="21"/>
        </w:rPr>
      </w:pPr>
      <w:r>
        <w:rPr>
          <w:rFonts w:ascii="宋体" w:hAnsi="宋体"/>
          <w:bCs/>
          <w:sz w:val="21"/>
          <w:szCs w:val="21"/>
        </w:rPr>
        <w:t xml:space="preserve">9.1.1 </w:t>
      </w:r>
      <w:r>
        <w:rPr>
          <w:rFonts w:hint="eastAsia" w:ascii="宋体" w:hAnsi="宋体"/>
          <w:bCs/>
          <w:sz w:val="21"/>
          <w:szCs w:val="21"/>
        </w:rPr>
        <w:t>总则</w:t>
      </w:r>
      <w:bookmarkEnd w:id="144"/>
    </w:p>
    <w:p w14:paraId="7D3ADC4D">
      <w:pPr>
        <w:spacing w:line="400" w:lineRule="exact"/>
        <w:ind w:firstLine="480"/>
        <w:rPr>
          <w:rFonts w:ascii="宋体" w:hAnsi="宋体"/>
          <w:sz w:val="21"/>
          <w:szCs w:val="21"/>
        </w:rPr>
      </w:pPr>
      <w:r>
        <w:rPr>
          <w:rFonts w:hint="eastAsia" w:ascii="宋体" w:hAnsi="宋体"/>
          <w:sz w:val="21"/>
          <w:szCs w:val="21"/>
        </w:rPr>
        <w:t>为证实过程实现所策划结果的能力，评价质量管理体系的绩效和有效性，质量管理部负责组织相关部门识别需进行监视和测量的质量管理体系过程。并策划：</w:t>
      </w:r>
    </w:p>
    <w:p w14:paraId="5C1A87E0">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对理解组织及其环境、理解相关方的需求和期望、质量管理体系及其过程、质量目标及其实现的策划、公司的运行环境、监视和测量资源、运行策划和控制、顾客满意、分析与评价、内部审核、和管理评审等为监视和测量的对象，证实产品和服务的符合性、评价过程绩效、质量管理体系符合性和有效性、顾客满意度等；</w:t>
      </w:r>
      <w:r>
        <w:rPr>
          <w:rFonts w:ascii="宋体" w:hAnsi="宋体"/>
          <w:sz w:val="21"/>
          <w:szCs w:val="21"/>
        </w:rPr>
        <w:t xml:space="preserve"> </w:t>
      </w:r>
    </w:p>
    <w:p w14:paraId="26B8C854">
      <w:pPr>
        <w:spacing w:line="400" w:lineRule="exact"/>
        <w:ind w:firstLine="480"/>
        <w:rPr>
          <w:rFonts w:ascii="宋体" w:hAnsi="宋体"/>
          <w:color w:val="000000"/>
          <w:sz w:val="21"/>
          <w:szCs w:val="21"/>
        </w:rPr>
      </w:pPr>
      <w:r>
        <w:rPr>
          <w:rFonts w:ascii="宋体" w:hAnsi="宋体"/>
          <w:sz w:val="21"/>
          <w:szCs w:val="21"/>
        </w:rPr>
        <w:t>b</w:t>
      </w:r>
      <w:r>
        <w:rPr>
          <w:rFonts w:hint="eastAsia" w:ascii="宋体" w:hAnsi="宋体"/>
          <w:sz w:val="21"/>
          <w:szCs w:val="21"/>
        </w:rPr>
        <w:t>）监视、测量（适用时）、分析和评价，以确保结果有效；</w:t>
      </w:r>
      <w:r>
        <w:rPr>
          <w:rFonts w:ascii="宋体" w:hAnsi="宋体"/>
          <w:color w:val="000000"/>
          <w:sz w:val="21"/>
          <w:szCs w:val="21"/>
        </w:rPr>
        <w:t xml:space="preserve"> </w:t>
      </w:r>
    </w:p>
    <w:p w14:paraId="6EBF2088">
      <w:pPr>
        <w:spacing w:line="400" w:lineRule="exact"/>
        <w:ind w:firstLine="480"/>
        <w:rPr>
          <w:rFonts w:ascii="宋体" w:hAnsi="宋体"/>
          <w:color w:val="000000"/>
          <w:sz w:val="21"/>
          <w:szCs w:val="21"/>
        </w:rPr>
      </w:pPr>
      <w:r>
        <w:rPr>
          <w:rFonts w:ascii="宋体" w:hAnsi="宋体"/>
          <w:color w:val="000000"/>
          <w:sz w:val="21"/>
          <w:szCs w:val="21"/>
        </w:rPr>
        <w:t>c</w:t>
      </w:r>
      <w:r>
        <w:rPr>
          <w:rFonts w:hint="eastAsia" w:ascii="宋体" w:hAnsi="宋体"/>
          <w:color w:val="000000"/>
          <w:sz w:val="21"/>
          <w:szCs w:val="21"/>
        </w:rPr>
        <w:t>）实施监视和测量的时机；</w:t>
      </w:r>
      <w:r>
        <w:rPr>
          <w:rFonts w:ascii="宋体" w:hAnsi="宋体"/>
          <w:color w:val="000000"/>
          <w:sz w:val="21"/>
          <w:szCs w:val="21"/>
        </w:rPr>
        <w:t xml:space="preserve"> </w:t>
      </w:r>
    </w:p>
    <w:p w14:paraId="7194D3A0">
      <w:pPr>
        <w:spacing w:line="400" w:lineRule="exact"/>
        <w:ind w:firstLine="480"/>
        <w:rPr>
          <w:rFonts w:ascii="宋体" w:hAnsi="宋体"/>
          <w:color w:val="000000"/>
          <w:sz w:val="21"/>
          <w:szCs w:val="21"/>
        </w:rPr>
      </w:pPr>
      <w:r>
        <w:rPr>
          <w:rFonts w:ascii="宋体" w:hAnsi="宋体"/>
          <w:color w:val="000000"/>
          <w:sz w:val="21"/>
          <w:szCs w:val="21"/>
        </w:rPr>
        <w:t>d</w:t>
      </w:r>
      <w:r>
        <w:rPr>
          <w:rFonts w:hint="eastAsia" w:ascii="宋体" w:hAnsi="宋体"/>
          <w:color w:val="000000"/>
          <w:sz w:val="21"/>
          <w:szCs w:val="21"/>
        </w:rPr>
        <w:t>）公司每半年对监视和测量的结果进行分析和评价。</w:t>
      </w:r>
    </w:p>
    <w:p w14:paraId="5D6480C8">
      <w:pPr>
        <w:spacing w:line="400" w:lineRule="exact"/>
        <w:ind w:firstLine="480"/>
        <w:rPr>
          <w:rFonts w:ascii="宋体" w:hAnsi="宋体"/>
          <w:sz w:val="21"/>
          <w:szCs w:val="21"/>
        </w:rPr>
      </w:pPr>
      <w:r>
        <w:rPr>
          <w:rFonts w:hint="eastAsia" w:ascii="宋体" w:hAnsi="宋体"/>
          <w:sz w:val="21"/>
          <w:szCs w:val="21"/>
        </w:rPr>
        <w:t>质量管理部负责对质量管理体系运行的监视和测量；研发部负责对运行的策划过程和与产品和服务的设计开发过程的监视和测量；生产运维部负责对生产和服务提供过程和生产设备管理的监视和测量；综合行政部负责人力资源管理监视和测量，负责对供方管理的监视和测量。财务部负责对质量经济性的监视和测量；市场部负责对顾客有关过程和顾客满意的监视和测量。具体控制要求按公司质量管理体系程序文件《监视、测量、分析和评价控制程序》（HY</w:t>
      </w:r>
      <w:r>
        <w:rPr>
          <w:rFonts w:ascii="宋体" w:hAnsi="宋体"/>
          <w:sz w:val="21"/>
          <w:szCs w:val="21"/>
        </w:rPr>
        <w:t>/</w:t>
      </w:r>
      <w:r>
        <w:rPr>
          <w:rFonts w:hint="eastAsia" w:ascii="宋体" w:hAnsi="宋体"/>
          <w:sz w:val="21"/>
          <w:szCs w:val="21"/>
        </w:rPr>
        <w:t>CX</w:t>
      </w:r>
      <w:r>
        <w:rPr>
          <w:rFonts w:ascii="宋体" w:hAnsi="宋体"/>
          <w:sz w:val="21"/>
          <w:szCs w:val="21"/>
        </w:rPr>
        <w:t>-</w:t>
      </w:r>
      <w:r>
        <w:rPr>
          <w:rFonts w:hint="eastAsia" w:ascii="宋体" w:hAnsi="宋体"/>
          <w:sz w:val="21"/>
          <w:szCs w:val="21"/>
        </w:rPr>
        <w:t>12</w:t>
      </w:r>
      <w:r>
        <w:rPr>
          <w:rFonts w:ascii="宋体" w:hAnsi="宋体"/>
          <w:sz w:val="21"/>
          <w:szCs w:val="21"/>
        </w:rPr>
        <w:t>-2021</w:t>
      </w:r>
      <w:r>
        <w:rPr>
          <w:rFonts w:hint="eastAsia" w:ascii="宋体" w:hAnsi="宋体"/>
          <w:sz w:val="21"/>
          <w:szCs w:val="21"/>
        </w:rPr>
        <w:t>）执行。</w:t>
      </w:r>
    </w:p>
    <w:p w14:paraId="764B90C7">
      <w:pPr>
        <w:spacing w:line="400" w:lineRule="exact"/>
        <w:ind w:firstLine="480"/>
        <w:rPr>
          <w:rFonts w:ascii="宋体" w:hAnsi="宋体"/>
          <w:sz w:val="21"/>
          <w:szCs w:val="21"/>
        </w:rPr>
      </w:pPr>
      <w:r>
        <w:rPr>
          <w:rFonts w:hint="eastAsia" w:ascii="宋体" w:hAnsi="宋体"/>
          <w:sz w:val="21"/>
          <w:szCs w:val="21"/>
        </w:rPr>
        <w:t>各部门保留监视和测量记录（见监视和测量记录表），质量管理部保留有关过程监视和测量的结果及所采取措施的记录，提交管理评审作为评价质量管理体系的绩效和有效性的依据之一。</w:t>
      </w:r>
      <w:r>
        <w:rPr>
          <w:rFonts w:hint="eastAsia" w:ascii="宋体" w:hAnsi="宋体"/>
          <w:color w:val="000000"/>
          <w:sz w:val="21"/>
          <w:szCs w:val="21"/>
        </w:rPr>
        <w:t>当过程的监</w:t>
      </w:r>
      <w:r>
        <w:rPr>
          <w:rFonts w:hint="eastAsia" w:ascii="宋体" w:hAnsi="宋体"/>
          <w:sz w:val="21"/>
          <w:szCs w:val="21"/>
        </w:rPr>
        <w:t>视和测量证实未达到所策划的结果时，质量管理部督促责任部门采取纠正或纠正措施，以确保产品和服务的符合性。</w:t>
      </w:r>
    </w:p>
    <w:p w14:paraId="65B0AC0E">
      <w:pPr>
        <w:spacing w:line="480" w:lineRule="exact"/>
        <w:rPr>
          <w:rFonts w:ascii="宋体" w:hAnsi="宋体"/>
          <w:bCs/>
          <w:sz w:val="21"/>
          <w:szCs w:val="21"/>
        </w:rPr>
      </w:pPr>
      <w:bookmarkStart w:id="145" w:name="_Toc495838170"/>
      <w:r>
        <w:rPr>
          <w:rFonts w:hint="eastAsia" w:ascii="宋体" w:hAnsi="宋体"/>
          <w:bCs/>
          <w:sz w:val="21"/>
          <w:szCs w:val="21"/>
        </w:rPr>
        <w:t>9.1.2 顾客满意</w:t>
      </w:r>
      <w:bookmarkEnd w:id="145"/>
    </w:p>
    <w:p w14:paraId="4E430F5A">
      <w:pPr>
        <w:spacing w:line="400" w:lineRule="exact"/>
        <w:ind w:firstLine="480"/>
        <w:rPr>
          <w:rFonts w:ascii="宋体" w:hAnsi="宋体"/>
          <w:sz w:val="21"/>
          <w:szCs w:val="21"/>
        </w:rPr>
      </w:pPr>
      <w:r>
        <w:rPr>
          <w:rFonts w:hint="eastAsia" w:ascii="宋体" w:hAnsi="宋体"/>
          <w:sz w:val="21"/>
          <w:szCs w:val="21"/>
        </w:rPr>
        <w:t>市场部牵头负责监视顾客对其需求和期望已得到满足的程度的感受，其它相关部门予以配合。各职能部门分析本部门职责范围内的信息源，确定改进方向。</w:t>
      </w:r>
    </w:p>
    <w:p w14:paraId="766884E6">
      <w:pPr>
        <w:spacing w:line="400" w:lineRule="exact"/>
        <w:ind w:firstLine="480"/>
        <w:rPr>
          <w:rFonts w:ascii="宋体" w:hAnsi="宋体"/>
          <w:sz w:val="21"/>
          <w:szCs w:val="21"/>
        </w:rPr>
      </w:pPr>
      <w:r>
        <w:rPr>
          <w:rFonts w:hint="eastAsia" w:ascii="宋体" w:hAnsi="宋体"/>
          <w:sz w:val="21"/>
          <w:szCs w:val="21"/>
        </w:rPr>
        <w:t>市场部负责与顾客联络，组织处理顾客抱怨，负责保存相关服务记录；组织对顾客满意的信息进行收集、分析和处理，确定顾客的要求和潜在的需求，并组织实施。</w:t>
      </w:r>
    </w:p>
    <w:p w14:paraId="7297AA6F">
      <w:pPr>
        <w:spacing w:line="400" w:lineRule="exact"/>
        <w:ind w:firstLine="480"/>
        <w:rPr>
          <w:rFonts w:ascii="宋体" w:hAnsi="宋体"/>
          <w:sz w:val="21"/>
          <w:szCs w:val="21"/>
        </w:rPr>
      </w:pPr>
      <w:r>
        <w:rPr>
          <w:rFonts w:hint="eastAsia" w:ascii="宋体" w:hAnsi="宋体"/>
          <w:sz w:val="21"/>
          <w:szCs w:val="21"/>
        </w:rPr>
        <w:t>a) 对顾客的面谈、信函、电话、传真等方式进行的咨询、提供的建议，由专人解答，并做好记录；暂时未能解答的，要详细记录并与有关部门研究后予以答复。</w:t>
      </w:r>
    </w:p>
    <w:p w14:paraId="59F7311E">
      <w:pPr>
        <w:spacing w:line="400" w:lineRule="exact"/>
        <w:ind w:firstLine="480"/>
        <w:rPr>
          <w:rFonts w:ascii="宋体" w:hAnsi="宋体"/>
          <w:sz w:val="21"/>
          <w:szCs w:val="21"/>
        </w:rPr>
      </w:pPr>
      <w:r>
        <w:rPr>
          <w:rFonts w:hint="eastAsia" w:ascii="宋体" w:hAnsi="宋体"/>
          <w:sz w:val="21"/>
          <w:szCs w:val="21"/>
        </w:rPr>
        <w:t>b) 业务人员利用外出的各项活动，及时掌握市场动态和顾客需求的动向。通过各种渠道，积极与顾客沟通，收集有关信息，及时反馈给公司的有关部门。</w:t>
      </w:r>
    </w:p>
    <w:p w14:paraId="3A2C7C50">
      <w:pPr>
        <w:spacing w:line="400" w:lineRule="exact"/>
        <w:ind w:firstLine="480"/>
        <w:rPr>
          <w:rFonts w:ascii="宋体" w:hAnsi="宋体"/>
          <w:sz w:val="21"/>
          <w:szCs w:val="21"/>
        </w:rPr>
      </w:pPr>
      <w:r>
        <w:rPr>
          <w:rFonts w:hint="eastAsia" w:ascii="宋体" w:hAnsi="宋体"/>
          <w:sz w:val="21"/>
          <w:szCs w:val="21"/>
        </w:rPr>
        <w:t>向顾客发放</w:t>
      </w:r>
      <w:r>
        <w:rPr>
          <w:rFonts w:hint="eastAsia" w:ascii="宋体" w:hAnsi="宋体"/>
          <w:b/>
          <w:sz w:val="21"/>
          <w:szCs w:val="21"/>
        </w:rPr>
        <w:t>《</w:t>
      </w:r>
      <w:r>
        <w:rPr>
          <w:rStyle w:val="32"/>
          <w:rFonts w:hint="eastAsia" w:hAnsi="宋体"/>
          <w:b w:val="0"/>
          <w:color w:val="auto"/>
          <w:sz w:val="21"/>
          <w:szCs w:val="21"/>
        </w:rPr>
        <w:t>顾客满意度调查表</w:t>
      </w:r>
      <w:r>
        <w:rPr>
          <w:rFonts w:hint="eastAsia" w:ascii="宋体" w:hAnsi="宋体"/>
          <w:b/>
          <w:sz w:val="21"/>
          <w:szCs w:val="21"/>
        </w:rPr>
        <w:t>》</w:t>
      </w:r>
      <w:r>
        <w:rPr>
          <w:rFonts w:hint="eastAsia" w:ascii="宋体" w:hAnsi="宋体"/>
          <w:sz w:val="21"/>
          <w:szCs w:val="21"/>
        </w:rPr>
        <w:t>，调查顾客对公司产品质量、交货期等意见和建议。</w:t>
      </w:r>
    </w:p>
    <w:p w14:paraId="651020CD">
      <w:pPr>
        <w:spacing w:line="400" w:lineRule="exact"/>
        <w:ind w:firstLine="480"/>
        <w:rPr>
          <w:rFonts w:ascii="宋体" w:hAnsi="宋体"/>
          <w:sz w:val="21"/>
          <w:szCs w:val="21"/>
        </w:rPr>
      </w:pPr>
      <w:r>
        <w:rPr>
          <w:rFonts w:hint="eastAsia" w:ascii="宋体" w:hAnsi="宋体"/>
          <w:sz w:val="21"/>
          <w:szCs w:val="21"/>
        </w:rPr>
        <w:t>对上述调查进行统计分析，确定顾客的需求和期望及公司需改进的方向。</w:t>
      </w:r>
    </w:p>
    <w:p w14:paraId="02509681">
      <w:pPr>
        <w:pStyle w:val="28"/>
        <w:spacing w:line="400" w:lineRule="exact"/>
        <w:ind w:firstLine="420"/>
        <w:rPr>
          <w:bCs/>
          <w:color w:val="auto"/>
          <w:sz w:val="28"/>
          <w:szCs w:val="28"/>
        </w:rPr>
      </w:pPr>
      <w:r>
        <w:rPr>
          <w:rFonts w:hint="eastAsia"/>
          <w:bCs/>
          <w:color w:val="auto"/>
          <w:sz w:val="21"/>
        </w:rPr>
        <w:t>对顾客抱怨或投诉，公司要高度重视，认真分析和处理，实施改进，由市场部负责及时将处理结果通报顾客，并保持相关记录。</w:t>
      </w:r>
      <w:bookmarkStart w:id="146" w:name="_Toc495838171"/>
    </w:p>
    <w:p w14:paraId="21651E0F">
      <w:pPr>
        <w:spacing w:line="400" w:lineRule="exact"/>
        <w:rPr>
          <w:rFonts w:ascii="宋体" w:hAnsi="宋体"/>
          <w:bCs/>
          <w:sz w:val="21"/>
          <w:szCs w:val="21"/>
        </w:rPr>
      </w:pPr>
      <w:r>
        <w:rPr>
          <w:rFonts w:ascii="宋体" w:hAnsi="宋体"/>
          <w:bCs/>
          <w:sz w:val="21"/>
          <w:szCs w:val="21"/>
        </w:rPr>
        <w:t xml:space="preserve">9.1.3 </w:t>
      </w:r>
      <w:r>
        <w:rPr>
          <w:rFonts w:hint="eastAsia" w:ascii="宋体" w:hAnsi="宋体"/>
          <w:bCs/>
          <w:sz w:val="21"/>
          <w:szCs w:val="21"/>
        </w:rPr>
        <w:t>分析与评价</w:t>
      </w:r>
      <w:bookmarkEnd w:id="146"/>
    </w:p>
    <w:p w14:paraId="6FBF220C">
      <w:pPr>
        <w:spacing w:line="400" w:lineRule="exact"/>
        <w:ind w:firstLine="480"/>
        <w:rPr>
          <w:rFonts w:ascii="宋体" w:hAnsi="宋体"/>
          <w:sz w:val="21"/>
          <w:szCs w:val="21"/>
        </w:rPr>
      </w:pPr>
      <w:r>
        <w:rPr>
          <w:rFonts w:hint="eastAsia" w:ascii="宋体" w:hAnsi="宋体"/>
          <w:sz w:val="21"/>
          <w:szCs w:val="21"/>
        </w:rPr>
        <w:t>质量管理部负责组织各相关部门对监视、测量、分析和改进的过程进行策划；各相关部门负责组织实施，应利用分析结果评价：</w:t>
      </w:r>
    </w:p>
    <w:p w14:paraId="02DE20D3">
      <w:pPr>
        <w:spacing w:line="400" w:lineRule="exact"/>
        <w:ind w:firstLine="420" w:firstLineChars="200"/>
        <w:rPr>
          <w:rFonts w:ascii="宋体" w:hAnsi="宋体"/>
          <w:sz w:val="21"/>
          <w:szCs w:val="21"/>
        </w:rPr>
      </w:pPr>
      <w:r>
        <w:rPr>
          <w:rFonts w:ascii="宋体" w:hAnsi="宋体"/>
          <w:sz w:val="21"/>
          <w:szCs w:val="21"/>
        </w:rPr>
        <w:t>a</w:t>
      </w:r>
      <w:r>
        <w:rPr>
          <w:rFonts w:hint="eastAsia" w:ascii="宋体" w:hAnsi="宋体"/>
          <w:sz w:val="21"/>
          <w:szCs w:val="21"/>
        </w:rPr>
        <w:t>）产品和服务的符合性，由质量管理部负责牵头评价，如产品一次交验合格率、不合格输出控制等；</w:t>
      </w:r>
      <w:r>
        <w:rPr>
          <w:rFonts w:ascii="宋体" w:hAnsi="宋体"/>
          <w:sz w:val="21"/>
          <w:szCs w:val="21"/>
        </w:rPr>
        <w:t xml:space="preserve"> </w:t>
      </w:r>
    </w:p>
    <w:p w14:paraId="7E2DD18B">
      <w:pPr>
        <w:spacing w:line="400" w:lineRule="exact"/>
        <w:ind w:firstLine="420" w:firstLineChars="200"/>
        <w:rPr>
          <w:rFonts w:ascii="宋体" w:hAnsi="宋体"/>
          <w:sz w:val="21"/>
          <w:szCs w:val="21"/>
        </w:rPr>
      </w:pPr>
      <w:r>
        <w:rPr>
          <w:rFonts w:ascii="宋体" w:hAnsi="宋体"/>
          <w:sz w:val="21"/>
          <w:szCs w:val="21"/>
        </w:rPr>
        <w:t>b</w:t>
      </w:r>
      <w:r>
        <w:rPr>
          <w:rFonts w:hint="eastAsia" w:ascii="宋体" w:hAnsi="宋体"/>
          <w:sz w:val="21"/>
          <w:szCs w:val="21"/>
        </w:rPr>
        <w:t>）顾客满意程度，由市场部负责牵头评价，如顾客满意度、投诉、退修、市场占有率及其变化等；</w:t>
      </w:r>
      <w:r>
        <w:rPr>
          <w:rFonts w:ascii="宋体" w:hAnsi="宋体"/>
          <w:sz w:val="21"/>
          <w:szCs w:val="21"/>
        </w:rPr>
        <w:t xml:space="preserve"> </w:t>
      </w:r>
    </w:p>
    <w:p w14:paraId="1CA090A2">
      <w:pPr>
        <w:spacing w:line="400" w:lineRule="exact"/>
        <w:ind w:firstLine="420" w:firstLineChars="200"/>
        <w:rPr>
          <w:rFonts w:ascii="宋体" w:hAnsi="宋体"/>
          <w:sz w:val="21"/>
          <w:szCs w:val="21"/>
        </w:rPr>
      </w:pPr>
      <w:r>
        <w:rPr>
          <w:rFonts w:ascii="宋体" w:hAnsi="宋体"/>
          <w:sz w:val="21"/>
          <w:szCs w:val="21"/>
        </w:rPr>
        <w:t>c</w:t>
      </w:r>
      <w:r>
        <w:rPr>
          <w:rFonts w:hint="eastAsia" w:ascii="宋体" w:hAnsi="宋体"/>
          <w:sz w:val="21"/>
          <w:szCs w:val="21"/>
        </w:rPr>
        <w:t>）质量管理体系的绩效和有效性，由质量管理部负责牵头评价，如过程运行状况及变化趋势等；</w:t>
      </w:r>
      <w:r>
        <w:rPr>
          <w:rFonts w:ascii="宋体" w:hAnsi="宋体"/>
          <w:sz w:val="21"/>
          <w:szCs w:val="21"/>
        </w:rPr>
        <w:t xml:space="preserve"> </w:t>
      </w:r>
    </w:p>
    <w:p w14:paraId="115D4B6E">
      <w:pPr>
        <w:spacing w:line="400" w:lineRule="exact"/>
        <w:ind w:firstLine="420" w:firstLineChars="200"/>
        <w:rPr>
          <w:rFonts w:ascii="宋体" w:hAnsi="宋体"/>
          <w:sz w:val="21"/>
          <w:szCs w:val="21"/>
        </w:rPr>
      </w:pPr>
      <w:r>
        <w:rPr>
          <w:rFonts w:ascii="宋体" w:hAnsi="宋体"/>
          <w:sz w:val="21"/>
          <w:szCs w:val="21"/>
        </w:rPr>
        <w:t>d</w:t>
      </w:r>
      <w:r>
        <w:rPr>
          <w:rFonts w:hint="eastAsia" w:ascii="宋体" w:hAnsi="宋体"/>
          <w:sz w:val="21"/>
          <w:szCs w:val="21"/>
        </w:rPr>
        <w:t>）策划是否得到有效实施，由综合行政部、研发部、质量管理部等各部门各自职责进行评价；</w:t>
      </w:r>
      <w:r>
        <w:rPr>
          <w:rFonts w:ascii="宋体" w:hAnsi="宋体"/>
          <w:sz w:val="21"/>
          <w:szCs w:val="21"/>
        </w:rPr>
        <w:t xml:space="preserve"> </w:t>
      </w:r>
    </w:p>
    <w:p w14:paraId="70D001F1">
      <w:pPr>
        <w:spacing w:line="400" w:lineRule="exact"/>
        <w:ind w:firstLine="420" w:firstLineChars="200"/>
        <w:rPr>
          <w:rFonts w:ascii="宋体" w:hAnsi="宋体"/>
          <w:sz w:val="21"/>
          <w:szCs w:val="21"/>
        </w:rPr>
      </w:pPr>
      <w:r>
        <w:rPr>
          <w:rFonts w:ascii="宋体" w:hAnsi="宋体"/>
          <w:sz w:val="21"/>
          <w:szCs w:val="21"/>
        </w:rPr>
        <w:t>e</w:t>
      </w:r>
      <w:r>
        <w:rPr>
          <w:rFonts w:hint="eastAsia" w:ascii="宋体" w:hAnsi="宋体"/>
          <w:sz w:val="21"/>
          <w:szCs w:val="21"/>
        </w:rPr>
        <w:t>）</w:t>
      </w:r>
      <w:r>
        <w:rPr>
          <w:rFonts w:hint="eastAsia" w:ascii="宋体" w:hAnsi="宋体"/>
          <w:color w:val="000000"/>
          <w:sz w:val="21"/>
          <w:szCs w:val="21"/>
        </w:rPr>
        <w:t>所采取的</w:t>
      </w:r>
      <w:r>
        <w:rPr>
          <w:rFonts w:hint="eastAsia" w:ascii="宋体" w:hAnsi="宋体"/>
          <w:sz w:val="21"/>
          <w:szCs w:val="21"/>
        </w:rPr>
        <w:t>应对风险和机遇措施的有效性；</w:t>
      </w:r>
      <w:r>
        <w:rPr>
          <w:rFonts w:ascii="宋体" w:hAnsi="宋体"/>
          <w:sz w:val="21"/>
          <w:szCs w:val="21"/>
        </w:rPr>
        <w:t xml:space="preserve"> </w:t>
      </w:r>
    </w:p>
    <w:p w14:paraId="2F93CA14">
      <w:pPr>
        <w:spacing w:line="400" w:lineRule="exact"/>
        <w:ind w:firstLine="420" w:firstLineChars="200"/>
        <w:rPr>
          <w:rFonts w:ascii="宋体" w:hAnsi="宋体"/>
          <w:sz w:val="21"/>
          <w:szCs w:val="21"/>
        </w:rPr>
      </w:pPr>
      <w:r>
        <w:rPr>
          <w:rFonts w:ascii="宋体" w:hAnsi="宋体"/>
          <w:sz w:val="21"/>
          <w:szCs w:val="21"/>
        </w:rPr>
        <w:t>f</w:t>
      </w:r>
      <w:r>
        <w:rPr>
          <w:rFonts w:hint="eastAsia" w:ascii="宋体" w:hAnsi="宋体"/>
          <w:sz w:val="21"/>
          <w:szCs w:val="21"/>
        </w:rPr>
        <w:t>）外部供方的绩效，由综合行政部负责牵头评价，如外部供方的产品和服务质量、稳定供货的可能性、存在的问题及需采取的措施的信息、分析外包过程的质量信息、外部供方保持其按要求提供产品和服务的能力的信息等；</w:t>
      </w:r>
      <w:r>
        <w:rPr>
          <w:rFonts w:ascii="宋体" w:hAnsi="宋体"/>
          <w:sz w:val="21"/>
          <w:szCs w:val="21"/>
        </w:rPr>
        <w:t xml:space="preserve"> </w:t>
      </w:r>
    </w:p>
    <w:p w14:paraId="08252916">
      <w:pPr>
        <w:spacing w:line="400" w:lineRule="exact"/>
        <w:ind w:firstLine="420" w:firstLineChars="200"/>
        <w:rPr>
          <w:rFonts w:ascii="宋体" w:hAnsi="宋体"/>
          <w:sz w:val="21"/>
          <w:szCs w:val="21"/>
        </w:rPr>
      </w:pPr>
      <w:r>
        <w:rPr>
          <w:rFonts w:ascii="宋体" w:hAnsi="宋体"/>
          <w:sz w:val="21"/>
          <w:szCs w:val="21"/>
        </w:rPr>
        <w:t>g</w:t>
      </w:r>
      <w:r>
        <w:rPr>
          <w:rFonts w:hint="eastAsia" w:ascii="宋体" w:hAnsi="宋体"/>
          <w:sz w:val="21"/>
          <w:szCs w:val="21"/>
        </w:rPr>
        <w:t>）质量管理体系改进的需求，由质量管理部负责牵头评价；</w:t>
      </w:r>
      <w:r>
        <w:rPr>
          <w:rFonts w:ascii="宋体" w:hAnsi="宋体"/>
          <w:sz w:val="21"/>
          <w:szCs w:val="21"/>
        </w:rPr>
        <w:t xml:space="preserve"> </w:t>
      </w:r>
    </w:p>
    <w:p w14:paraId="21D8A792">
      <w:pPr>
        <w:pStyle w:val="28"/>
        <w:spacing w:line="400" w:lineRule="exact"/>
        <w:ind w:firstLine="420"/>
        <w:rPr>
          <w:bCs/>
          <w:color w:val="auto"/>
          <w:sz w:val="21"/>
        </w:rPr>
      </w:pPr>
      <w:r>
        <w:rPr>
          <w:bCs/>
          <w:color w:val="auto"/>
          <w:sz w:val="21"/>
        </w:rPr>
        <w:t>h</w:t>
      </w:r>
      <w:r>
        <w:rPr>
          <w:rFonts w:hint="eastAsia"/>
          <w:bCs/>
          <w:color w:val="auto"/>
          <w:sz w:val="21"/>
        </w:rPr>
        <w:t>）质量经济性，财务资产部负责牵头评价。</w:t>
      </w:r>
      <w:r>
        <w:rPr>
          <w:bCs/>
          <w:color w:val="auto"/>
          <w:sz w:val="21"/>
        </w:rPr>
        <w:t xml:space="preserve">  </w:t>
      </w:r>
    </w:p>
    <w:p w14:paraId="361C33C1">
      <w:pPr>
        <w:spacing w:line="400" w:lineRule="exact"/>
        <w:ind w:firstLine="480"/>
        <w:rPr>
          <w:rFonts w:ascii="宋体" w:hAnsi="宋体"/>
          <w:sz w:val="21"/>
          <w:szCs w:val="21"/>
        </w:rPr>
      </w:pPr>
      <w:r>
        <w:rPr>
          <w:rFonts w:hint="eastAsia" w:ascii="宋体" w:hAnsi="宋体"/>
          <w:sz w:val="21"/>
          <w:szCs w:val="21"/>
        </w:rPr>
        <w:t>质量管理部</w:t>
      </w:r>
      <w:r>
        <w:rPr>
          <w:rFonts w:ascii="宋体" w:hAnsi="宋体"/>
          <w:sz w:val="21"/>
          <w:szCs w:val="21"/>
        </w:rPr>
        <w:t>负责</w:t>
      </w:r>
      <w:r>
        <w:rPr>
          <w:rFonts w:hint="eastAsia" w:ascii="宋体" w:hAnsi="宋体"/>
          <w:sz w:val="21"/>
          <w:szCs w:val="21"/>
        </w:rPr>
        <w:t>归口管理</w:t>
      </w:r>
      <w:r>
        <w:rPr>
          <w:rFonts w:ascii="宋体" w:hAnsi="宋体"/>
          <w:sz w:val="21"/>
          <w:szCs w:val="21"/>
        </w:rPr>
        <w:t>公司内、外相关数据的传递与分析、处理</w:t>
      </w:r>
      <w:r>
        <w:rPr>
          <w:rFonts w:hint="eastAsia" w:ascii="宋体" w:hAnsi="宋体"/>
          <w:sz w:val="21"/>
          <w:szCs w:val="21"/>
        </w:rPr>
        <w:t>；各职能部门应对所收集的数据进行分析，通常可采用统计方法（如调查表、因果图、排列图等）从波动的数据中找出规律，确定需解决的问题。</w:t>
      </w:r>
    </w:p>
    <w:p w14:paraId="01CF092D">
      <w:pPr>
        <w:widowControl/>
        <w:spacing w:line="400" w:lineRule="exact"/>
        <w:ind w:firstLine="441" w:firstLineChars="210"/>
        <w:jc w:val="left"/>
        <w:rPr>
          <w:rFonts w:ascii="宋体" w:hAnsi="宋体"/>
          <w:sz w:val="21"/>
          <w:szCs w:val="21"/>
        </w:rPr>
      </w:pPr>
      <w:r>
        <w:rPr>
          <w:rFonts w:hint="eastAsia" w:ascii="宋体" w:hAnsi="宋体"/>
          <w:sz w:val="21"/>
          <w:szCs w:val="21"/>
        </w:rPr>
        <w:t>各职能部门每半年进行一次数据分析，并将分析的结果写出书面报告传递到质量管理部，由质量管理部汇总提交管理评审。</w:t>
      </w:r>
    </w:p>
    <w:p w14:paraId="5EE67528">
      <w:pPr>
        <w:spacing w:line="400" w:lineRule="exact"/>
        <w:ind w:firstLine="420" w:firstLineChars="200"/>
        <w:rPr>
          <w:rFonts w:ascii="楷体" w:hAnsi="楷体" w:eastAsia="楷体"/>
          <w:bCs/>
          <w:szCs w:val="28"/>
        </w:rPr>
      </w:pPr>
      <w:r>
        <w:rPr>
          <w:rFonts w:hint="eastAsia" w:ascii="楷体" w:hAnsi="楷体" w:eastAsia="楷体"/>
          <w:bCs/>
          <w:sz w:val="21"/>
          <w:szCs w:val="21"/>
        </w:rPr>
        <w:t>通过数据分析的结果获得的信息，用于体系、过程、产品和服务的改进。</w:t>
      </w:r>
      <w:r>
        <w:rPr>
          <w:rFonts w:hint="eastAsia" w:ascii="楷体" w:hAnsi="楷体" w:eastAsia="楷体"/>
          <w:bCs/>
          <w:szCs w:val="28"/>
        </w:rPr>
        <w:t xml:space="preserve"> </w:t>
      </w:r>
      <w:bookmarkStart w:id="147" w:name="_Toc495838172"/>
    </w:p>
    <w:p w14:paraId="2381F3C2">
      <w:pPr>
        <w:pStyle w:val="3"/>
        <w:spacing w:before="120" w:beforeLines="50" w:after="120" w:afterLines="50" w:line="400" w:lineRule="exact"/>
        <w:rPr>
          <w:rFonts w:ascii="宋体" w:hAnsi="宋体" w:eastAsia="宋体"/>
          <w:sz w:val="24"/>
          <w:szCs w:val="24"/>
        </w:rPr>
      </w:pPr>
      <w:bookmarkStart w:id="148" w:name="_Toc509844135"/>
      <w:bookmarkStart w:id="149" w:name="_Toc509844825"/>
      <w:bookmarkStart w:id="150" w:name="_Toc509845157"/>
      <w:bookmarkStart w:id="151" w:name="_Toc521509469"/>
      <w:r>
        <w:rPr>
          <w:rFonts w:ascii="宋体" w:hAnsi="宋体" w:eastAsia="宋体"/>
          <w:sz w:val="24"/>
          <w:szCs w:val="24"/>
        </w:rPr>
        <w:t xml:space="preserve">9.2 </w:t>
      </w:r>
      <w:r>
        <w:rPr>
          <w:rFonts w:hint="eastAsia" w:ascii="宋体" w:hAnsi="宋体" w:eastAsia="宋体"/>
          <w:sz w:val="24"/>
          <w:szCs w:val="24"/>
        </w:rPr>
        <w:t>内部审核</w:t>
      </w:r>
      <w:bookmarkEnd w:id="147"/>
      <w:bookmarkEnd w:id="148"/>
      <w:bookmarkEnd w:id="149"/>
      <w:bookmarkEnd w:id="150"/>
      <w:bookmarkEnd w:id="151"/>
    </w:p>
    <w:p w14:paraId="48EB751B">
      <w:pPr>
        <w:spacing w:line="400" w:lineRule="exact"/>
        <w:ind w:firstLine="482"/>
        <w:rPr>
          <w:rFonts w:ascii="宋体" w:hAnsi="宋体"/>
          <w:sz w:val="21"/>
          <w:szCs w:val="21"/>
        </w:rPr>
      </w:pPr>
      <w:r>
        <w:rPr>
          <w:rFonts w:ascii="宋体" w:hAnsi="宋体" w:cs="宋体"/>
          <w:sz w:val="21"/>
          <w:szCs w:val="21"/>
        </w:rPr>
        <w:t>9.2.1</w:t>
      </w:r>
      <w:r>
        <w:rPr>
          <w:rFonts w:hint="eastAsia" w:ascii="宋体" w:hAnsi="宋体" w:cs="宋体"/>
          <w:sz w:val="21"/>
          <w:szCs w:val="21"/>
        </w:rPr>
        <w:t>质量管理部</w:t>
      </w:r>
      <w:r>
        <w:rPr>
          <w:rFonts w:hint="eastAsia" w:ascii="宋体" w:hAnsi="宋体"/>
          <w:sz w:val="21"/>
          <w:szCs w:val="21"/>
        </w:rPr>
        <w:t>负责内部审核的策划，编制《HY-CX-04-2022内部审核控制程序》，确定审核方法，提出审核组长和审核组成员的建议名单报总经理批准，并按策划的时间间隔（一般为一年一次，不超过12个月，如遇特殊情况，如产品和服务出现严重质量问题、顾客有重大投诉等，经总经理批准可增加内审频次）组织实施内部审核，以确定质量管理体系是否：</w:t>
      </w:r>
    </w:p>
    <w:p w14:paraId="0DF0DE20">
      <w:pPr>
        <w:spacing w:line="400" w:lineRule="exact"/>
        <w:ind w:firstLine="482"/>
        <w:rPr>
          <w:rFonts w:ascii="宋体" w:hAnsi="宋体"/>
          <w:sz w:val="21"/>
          <w:szCs w:val="21"/>
        </w:rPr>
      </w:pPr>
      <w:r>
        <w:rPr>
          <w:rFonts w:hint="eastAsia" w:ascii="宋体" w:hAnsi="宋体"/>
          <w:sz w:val="21"/>
          <w:szCs w:val="21"/>
        </w:rPr>
        <w:t>a)符合公司质量手册、程序文件、管理文件等质量管理体系方面的要求以及GJB9001C-2017标准的要求；</w:t>
      </w:r>
    </w:p>
    <w:p w14:paraId="04A1B788">
      <w:pPr>
        <w:spacing w:line="400" w:lineRule="exact"/>
        <w:ind w:firstLine="482"/>
        <w:rPr>
          <w:rFonts w:ascii="宋体" w:hAnsi="宋体"/>
          <w:sz w:val="21"/>
          <w:szCs w:val="21"/>
        </w:rPr>
      </w:pPr>
      <w:r>
        <w:rPr>
          <w:rFonts w:hint="eastAsia" w:ascii="宋体" w:hAnsi="宋体"/>
          <w:sz w:val="21"/>
          <w:szCs w:val="21"/>
        </w:rPr>
        <w:t>b)得到有效的实施与保持。</w:t>
      </w:r>
    </w:p>
    <w:p w14:paraId="014BC54C">
      <w:pPr>
        <w:spacing w:line="400" w:lineRule="exact"/>
        <w:ind w:firstLine="457" w:firstLineChars="218"/>
        <w:rPr>
          <w:rFonts w:ascii="宋体" w:hAnsi="宋体"/>
          <w:sz w:val="21"/>
          <w:szCs w:val="21"/>
        </w:rPr>
      </w:pPr>
      <w:r>
        <w:rPr>
          <w:rFonts w:ascii="宋体" w:hAnsi="宋体"/>
          <w:sz w:val="21"/>
          <w:szCs w:val="21"/>
        </w:rPr>
        <w:t>9.2.2</w:t>
      </w:r>
      <w:r>
        <w:rPr>
          <w:rFonts w:hint="eastAsia" w:ascii="宋体" w:hAnsi="宋体"/>
          <w:sz w:val="21"/>
          <w:szCs w:val="21"/>
        </w:rPr>
        <w:t xml:space="preserve"> 《内部审核控制程序》应包括以下要求：</w:t>
      </w:r>
      <w:r>
        <w:rPr>
          <w:rFonts w:ascii="宋体" w:hAnsi="宋体"/>
          <w:sz w:val="21"/>
          <w:szCs w:val="21"/>
        </w:rPr>
        <w:t xml:space="preserve"> </w:t>
      </w:r>
    </w:p>
    <w:p w14:paraId="0D25733B">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）依据有关过程的重要性、对公司产生影响的变化和以往的审核结果，策划、制定、实施和保持审核方案，审核方案包括频次、方法、职责、策划要求和报告；</w:t>
      </w:r>
      <w:r>
        <w:rPr>
          <w:rFonts w:ascii="宋体" w:hAnsi="宋体"/>
          <w:sz w:val="21"/>
          <w:szCs w:val="21"/>
        </w:rPr>
        <w:t xml:space="preserve"> </w:t>
      </w:r>
    </w:p>
    <w:p w14:paraId="73D2D9B9">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）规定每次审核的审核准则和范围；</w:t>
      </w:r>
      <w:r>
        <w:rPr>
          <w:rFonts w:ascii="宋体" w:hAnsi="宋体"/>
          <w:sz w:val="21"/>
          <w:szCs w:val="21"/>
        </w:rPr>
        <w:t xml:space="preserve"> </w:t>
      </w:r>
    </w:p>
    <w:p w14:paraId="01DA86F9">
      <w:pPr>
        <w:spacing w:line="400" w:lineRule="exact"/>
        <w:ind w:firstLine="480"/>
        <w:rPr>
          <w:rFonts w:ascii="宋体" w:hAnsi="宋体"/>
          <w:sz w:val="21"/>
          <w:szCs w:val="21"/>
        </w:rPr>
      </w:pPr>
      <w:r>
        <w:rPr>
          <w:rFonts w:ascii="宋体" w:hAnsi="宋体"/>
          <w:sz w:val="21"/>
          <w:szCs w:val="21"/>
        </w:rPr>
        <w:t>c</w:t>
      </w:r>
      <w:r>
        <w:rPr>
          <w:rFonts w:hint="eastAsia" w:ascii="宋体" w:hAnsi="宋体"/>
          <w:sz w:val="21"/>
          <w:szCs w:val="21"/>
        </w:rPr>
        <w:t>）选择审核员并实施审核，以确保审核过程客观公正；</w:t>
      </w:r>
      <w:r>
        <w:rPr>
          <w:rFonts w:ascii="宋体" w:hAnsi="宋体"/>
          <w:sz w:val="21"/>
          <w:szCs w:val="21"/>
        </w:rPr>
        <w:t xml:space="preserve"> </w:t>
      </w:r>
    </w:p>
    <w:p w14:paraId="12B9393E">
      <w:pPr>
        <w:spacing w:line="400" w:lineRule="exact"/>
        <w:ind w:firstLine="480"/>
        <w:rPr>
          <w:rFonts w:ascii="宋体" w:hAnsi="宋体"/>
          <w:sz w:val="21"/>
          <w:szCs w:val="21"/>
        </w:rPr>
      </w:pPr>
      <w:r>
        <w:rPr>
          <w:rFonts w:ascii="宋体" w:hAnsi="宋体"/>
          <w:sz w:val="21"/>
          <w:szCs w:val="21"/>
        </w:rPr>
        <w:t>d</w:t>
      </w:r>
      <w:r>
        <w:rPr>
          <w:rFonts w:hint="eastAsia" w:ascii="宋体" w:hAnsi="宋体"/>
          <w:sz w:val="21"/>
          <w:szCs w:val="21"/>
        </w:rPr>
        <w:t>）确保将审核结果报告给相关管理者；</w:t>
      </w:r>
      <w:r>
        <w:rPr>
          <w:rFonts w:ascii="宋体" w:hAnsi="宋体"/>
          <w:sz w:val="21"/>
          <w:szCs w:val="21"/>
        </w:rPr>
        <w:t xml:space="preserve"> </w:t>
      </w:r>
    </w:p>
    <w:p w14:paraId="1E171374">
      <w:pPr>
        <w:spacing w:line="400" w:lineRule="exact"/>
        <w:ind w:firstLine="480"/>
        <w:rPr>
          <w:rFonts w:ascii="宋体" w:hAnsi="宋体"/>
          <w:sz w:val="21"/>
          <w:szCs w:val="21"/>
        </w:rPr>
      </w:pPr>
      <w:r>
        <w:rPr>
          <w:rFonts w:ascii="宋体" w:hAnsi="宋体"/>
          <w:sz w:val="21"/>
          <w:szCs w:val="21"/>
        </w:rPr>
        <w:t>e</w:t>
      </w:r>
      <w:r>
        <w:rPr>
          <w:rFonts w:hint="eastAsia" w:ascii="宋体" w:hAnsi="宋体"/>
          <w:sz w:val="21"/>
          <w:szCs w:val="21"/>
        </w:rPr>
        <w:t>）及时采取适当的纠正和纠正措施；</w:t>
      </w:r>
      <w:r>
        <w:rPr>
          <w:rFonts w:ascii="宋体" w:hAnsi="宋体"/>
          <w:sz w:val="21"/>
          <w:szCs w:val="21"/>
        </w:rPr>
        <w:t xml:space="preserve"> </w:t>
      </w:r>
    </w:p>
    <w:p w14:paraId="756B8D92">
      <w:pPr>
        <w:spacing w:line="400" w:lineRule="exact"/>
        <w:ind w:firstLine="480"/>
        <w:rPr>
          <w:rFonts w:ascii="宋体" w:hAnsi="宋体"/>
          <w:sz w:val="21"/>
          <w:szCs w:val="21"/>
        </w:rPr>
      </w:pPr>
      <w:r>
        <w:rPr>
          <w:rFonts w:ascii="宋体" w:hAnsi="宋体"/>
          <w:sz w:val="21"/>
          <w:szCs w:val="21"/>
        </w:rPr>
        <w:t>f</w:t>
      </w:r>
      <w:r>
        <w:rPr>
          <w:rFonts w:hint="eastAsia" w:ascii="宋体" w:hAnsi="宋体"/>
          <w:sz w:val="21"/>
          <w:szCs w:val="21"/>
        </w:rPr>
        <w:t>）对于每次内部审核活动，质量管理部整理全套审核资料存档保留，作为实施审核方案以及审核结果的证据。</w:t>
      </w:r>
      <w:r>
        <w:rPr>
          <w:rFonts w:ascii="宋体" w:hAnsi="宋体"/>
          <w:sz w:val="21"/>
          <w:szCs w:val="21"/>
        </w:rPr>
        <w:t xml:space="preserve"> </w:t>
      </w:r>
    </w:p>
    <w:p w14:paraId="735DE279">
      <w:pPr>
        <w:spacing w:line="400" w:lineRule="exact"/>
        <w:ind w:firstLine="420" w:firstLineChars="200"/>
        <w:rPr>
          <w:rFonts w:ascii="楷体" w:hAnsi="楷体" w:eastAsia="楷体"/>
          <w:bCs/>
          <w:sz w:val="21"/>
          <w:szCs w:val="21"/>
        </w:rPr>
      </w:pPr>
      <w:r>
        <w:rPr>
          <w:rFonts w:hint="eastAsia" w:ascii="楷体" w:hAnsi="楷体" w:eastAsia="楷体"/>
          <w:bCs/>
          <w:sz w:val="21"/>
          <w:szCs w:val="21"/>
        </w:rPr>
        <w:t>内部审核员的资格鉴定由综合行政部进行，并由总经理授权，确保内部审核员具有相应的能力。</w:t>
      </w:r>
      <w:bookmarkStart w:id="152" w:name="_Toc495838173"/>
    </w:p>
    <w:p w14:paraId="0B63B760">
      <w:pPr>
        <w:pStyle w:val="3"/>
        <w:spacing w:before="120" w:beforeLines="50" w:after="120" w:afterLines="50" w:line="400" w:lineRule="exact"/>
        <w:rPr>
          <w:rFonts w:ascii="宋体" w:hAnsi="宋体" w:eastAsia="宋体"/>
          <w:sz w:val="24"/>
          <w:szCs w:val="24"/>
        </w:rPr>
      </w:pPr>
      <w:bookmarkStart w:id="153" w:name="_Toc509844136"/>
      <w:bookmarkStart w:id="154" w:name="_Toc521509470"/>
      <w:bookmarkStart w:id="155" w:name="_Toc509845158"/>
      <w:bookmarkStart w:id="156" w:name="_Toc509844826"/>
      <w:r>
        <w:rPr>
          <w:rFonts w:ascii="宋体" w:hAnsi="宋体" w:eastAsia="宋体"/>
          <w:sz w:val="24"/>
          <w:szCs w:val="24"/>
        </w:rPr>
        <w:t xml:space="preserve">9.3 </w:t>
      </w:r>
      <w:r>
        <w:rPr>
          <w:rFonts w:hint="eastAsia" w:ascii="宋体" w:hAnsi="宋体" w:eastAsia="宋体"/>
          <w:sz w:val="24"/>
          <w:szCs w:val="24"/>
        </w:rPr>
        <w:t>管理评审</w:t>
      </w:r>
      <w:bookmarkEnd w:id="152"/>
      <w:bookmarkEnd w:id="153"/>
      <w:bookmarkEnd w:id="154"/>
      <w:bookmarkEnd w:id="155"/>
      <w:bookmarkEnd w:id="156"/>
      <w:bookmarkStart w:id="157" w:name="_Toc495838174"/>
    </w:p>
    <w:p w14:paraId="466AEA24">
      <w:pPr>
        <w:spacing w:line="400" w:lineRule="exact"/>
        <w:rPr>
          <w:rFonts w:ascii="宋体" w:hAnsi="宋体"/>
          <w:b/>
          <w:bCs/>
          <w:sz w:val="21"/>
          <w:szCs w:val="21"/>
        </w:rPr>
      </w:pPr>
      <w:r>
        <w:rPr>
          <w:rFonts w:ascii="宋体" w:hAnsi="宋体"/>
          <w:b/>
          <w:bCs/>
          <w:sz w:val="21"/>
          <w:szCs w:val="21"/>
        </w:rPr>
        <w:t xml:space="preserve">9.3.1 </w:t>
      </w:r>
      <w:r>
        <w:rPr>
          <w:rFonts w:hint="eastAsia" w:ascii="宋体" w:hAnsi="宋体"/>
          <w:b/>
          <w:bCs/>
          <w:sz w:val="21"/>
          <w:szCs w:val="21"/>
        </w:rPr>
        <w:t>总则</w:t>
      </w:r>
      <w:bookmarkEnd w:id="157"/>
    </w:p>
    <w:p w14:paraId="603D92C5">
      <w:pPr>
        <w:spacing w:line="400" w:lineRule="exact"/>
        <w:ind w:firstLine="480"/>
        <w:rPr>
          <w:rFonts w:ascii="宋体" w:hAnsi="宋体"/>
          <w:sz w:val="21"/>
          <w:szCs w:val="21"/>
        </w:rPr>
      </w:pPr>
      <w:r>
        <w:rPr>
          <w:rFonts w:hint="eastAsia" w:ascii="宋体" w:hAnsi="宋体"/>
          <w:sz w:val="21"/>
          <w:szCs w:val="21"/>
        </w:rPr>
        <w:t>总经理按《HY-CX-06-2022管理评审控制程序》要求，每年一次（不超过12个月）主持召开管理评审会议。</w:t>
      </w:r>
    </w:p>
    <w:p w14:paraId="02CB1B9A">
      <w:pPr>
        <w:spacing w:line="400" w:lineRule="exact"/>
        <w:rPr>
          <w:rFonts w:ascii="宋体" w:hAnsi="宋体"/>
          <w:sz w:val="21"/>
          <w:szCs w:val="21"/>
        </w:rPr>
      </w:pPr>
      <w:bookmarkStart w:id="158" w:name="_Toc495838175"/>
      <w:r>
        <w:rPr>
          <w:rFonts w:hint="eastAsia" w:ascii="宋体" w:hAnsi="宋体"/>
          <w:sz w:val="21"/>
          <w:szCs w:val="21"/>
        </w:rPr>
        <w:t>以确保质量管理体系持续的适宜性、充分性、有效性，并与组织的战略方向保持一致。评审会议前，质量管理部拟定《管理评审计划》，《管理评审计划》总经理批准后，由质量管理部下发各部门，做会议准备。</w:t>
      </w:r>
    </w:p>
    <w:p w14:paraId="59D1861B">
      <w:pPr>
        <w:spacing w:line="400" w:lineRule="exact"/>
        <w:ind w:firstLine="420" w:firstLineChars="200"/>
        <w:rPr>
          <w:rFonts w:ascii="楷体" w:hAnsi="楷体" w:eastAsia="楷体"/>
          <w:bCs/>
          <w:sz w:val="21"/>
          <w:szCs w:val="21"/>
        </w:rPr>
      </w:pPr>
      <w:r>
        <w:rPr>
          <w:rFonts w:hint="eastAsia" w:ascii="楷体" w:hAnsi="楷体" w:eastAsia="楷体"/>
          <w:bCs/>
          <w:sz w:val="21"/>
          <w:szCs w:val="21"/>
        </w:rPr>
        <w:t>产品和服务发生重大质量事故，或公司的质量管理体系发生重大变更，总经理必须及时组织进行有针对性的专题管理评审。</w:t>
      </w:r>
    </w:p>
    <w:p w14:paraId="08BD52EF">
      <w:pPr>
        <w:spacing w:line="400" w:lineRule="exact"/>
        <w:rPr>
          <w:rFonts w:ascii="宋体" w:hAnsi="宋体"/>
          <w:b/>
          <w:bCs/>
          <w:sz w:val="21"/>
          <w:szCs w:val="21"/>
        </w:rPr>
      </w:pPr>
      <w:r>
        <w:rPr>
          <w:rFonts w:hint="eastAsia" w:ascii="宋体" w:hAnsi="宋体"/>
          <w:b/>
          <w:bCs/>
          <w:sz w:val="21"/>
          <w:szCs w:val="21"/>
        </w:rPr>
        <w:t>9.3.2管理评审输入</w:t>
      </w:r>
      <w:bookmarkEnd w:id="158"/>
    </w:p>
    <w:p w14:paraId="33ED4375">
      <w:pPr>
        <w:spacing w:line="400" w:lineRule="exact"/>
        <w:ind w:firstLine="480"/>
        <w:rPr>
          <w:rFonts w:ascii="宋体" w:hAnsi="宋体"/>
          <w:sz w:val="21"/>
          <w:szCs w:val="21"/>
        </w:rPr>
      </w:pPr>
      <w:r>
        <w:rPr>
          <w:rFonts w:hint="eastAsia" w:ascii="宋体" w:hAnsi="宋体"/>
          <w:sz w:val="21"/>
          <w:szCs w:val="21"/>
        </w:rPr>
        <w:t>管理评审的输入包括以下方面的信息：</w:t>
      </w:r>
    </w:p>
    <w:p w14:paraId="71FE1017">
      <w:pPr>
        <w:spacing w:line="400" w:lineRule="exact"/>
        <w:ind w:firstLine="480"/>
        <w:rPr>
          <w:rFonts w:ascii="宋体" w:hAnsi="宋体"/>
          <w:sz w:val="21"/>
          <w:szCs w:val="21"/>
        </w:rPr>
      </w:pPr>
      <w:r>
        <w:rPr>
          <w:rFonts w:ascii="宋体" w:hAnsi="宋体"/>
          <w:sz w:val="21"/>
          <w:szCs w:val="21"/>
        </w:rPr>
        <w:t>a</w:t>
      </w:r>
      <w:r>
        <w:rPr>
          <w:rFonts w:hint="eastAsia" w:ascii="宋体" w:hAnsi="宋体"/>
          <w:sz w:val="21"/>
          <w:szCs w:val="21"/>
        </w:rPr>
        <w:t>）以往管理评审所采取措施的情况；</w:t>
      </w:r>
      <w:r>
        <w:rPr>
          <w:rFonts w:ascii="宋体" w:hAnsi="宋体"/>
          <w:sz w:val="21"/>
          <w:szCs w:val="21"/>
        </w:rPr>
        <w:t xml:space="preserve"> </w:t>
      </w:r>
    </w:p>
    <w:p w14:paraId="799807E7">
      <w:pPr>
        <w:spacing w:line="400" w:lineRule="exact"/>
        <w:ind w:firstLine="480"/>
        <w:rPr>
          <w:rFonts w:ascii="宋体" w:hAnsi="宋体"/>
          <w:sz w:val="21"/>
          <w:szCs w:val="21"/>
        </w:rPr>
      </w:pPr>
      <w:r>
        <w:rPr>
          <w:rFonts w:ascii="宋体" w:hAnsi="宋体"/>
          <w:sz w:val="21"/>
          <w:szCs w:val="21"/>
        </w:rPr>
        <w:t>b</w:t>
      </w:r>
      <w:r>
        <w:rPr>
          <w:rFonts w:hint="eastAsia" w:ascii="宋体" w:hAnsi="宋体"/>
          <w:sz w:val="21"/>
          <w:szCs w:val="21"/>
        </w:rPr>
        <w:t>）与质量管理体系相关的内外部因素的变化；</w:t>
      </w:r>
      <w:r>
        <w:rPr>
          <w:rFonts w:ascii="宋体" w:hAnsi="宋体"/>
          <w:sz w:val="21"/>
          <w:szCs w:val="21"/>
        </w:rPr>
        <w:t xml:space="preserve"> </w:t>
      </w:r>
    </w:p>
    <w:p w14:paraId="72A68EC9">
      <w:pPr>
        <w:spacing w:line="400" w:lineRule="exact"/>
        <w:ind w:firstLine="480"/>
        <w:rPr>
          <w:rFonts w:ascii="宋体" w:hAnsi="宋体"/>
          <w:sz w:val="21"/>
          <w:szCs w:val="21"/>
        </w:rPr>
      </w:pPr>
      <w:r>
        <w:rPr>
          <w:rFonts w:hint="eastAsia" w:ascii="宋体" w:hAnsi="宋体"/>
          <w:sz w:val="21"/>
          <w:szCs w:val="21"/>
        </w:rPr>
        <w:t xml:space="preserve">c）下列有关质量管理体系绩效和有效性的信息，包括其趋势： </w:t>
      </w:r>
    </w:p>
    <w:p w14:paraId="06F330ED">
      <w:pPr>
        <w:spacing w:line="400" w:lineRule="exact"/>
        <w:ind w:firstLine="735" w:firstLineChars="350"/>
        <w:rPr>
          <w:rFonts w:ascii="宋体" w:hAnsi="宋体"/>
          <w:sz w:val="21"/>
          <w:szCs w:val="21"/>
        </w:rPr>
      </w:pPr>
      <w:r>
        <w:rPr>
          <w:rFonts w:hint="eastAsia" w:ascii="宋体" w:hAnsi="宋体"/>
          <w:sz w:val="21"/>
          <w:szCs w:val="21"/>
        </w:rPr>
        <w:t xml:space="preserve">1）顾客满意和有关相关方的反馈； </w:t>
      </w:r>
    </w:p>
    <w:p w14:paraId="0BCA3038">
      <w:pPr>
        <w:spacing w:line="400" w:lineRule="exact"/>
        <w:ind w:firstLine="735" w:firstLineChars="350"/>
        <w:rPr>
          <w:rFonts w:ascii="宋体" w:hAnsi="宋体"/>
          <w:sz w:val="21"/>
          <w:szCs w:val="21"/>
        </w:rPr>
      </w:pPr>
      <w:r>
        <w:rPr>
          <w:rFonts w:hint="eastAsia" w:ascii="宋体" w:hAnsi="宋体"/>
          <w:sz w:val="21"/>
          <w:szCs w:val="21"/>
        </w:rPr>
        <w:t xml:space="preserve">2）质量目标的实现程度； </w:t>
      </w:r>
    </w:p>
    <w:p w14:paraId="715982AD">
      <w:pPr>
        <w:spacing w:line="400" w:lineRule="exact"/>
        <w:ind w:firstLine="735" w:firstLineChars="350"/>
        <w:rPr>
          <w:rFonts w:ascii="宋体" w:hAnsi="宋体"/>
          <w:sz w:val="21"/>
          <w:szCs w:val="21"/>
        </w:rPr>
      </w:pPr>
      <w:r>
        <w:rPr>
          <w:rFonts w:hint="eastAsia" w:ascii="宋体" w:hAnsi="宋体"/>
          <w:sz w:val="21"/>
          <w:szCs w:val="21"/>
        </w:rPr>
        <w:t xml:space="preserve">3）过程绩效以及产品和服务的合格情况； </w:t>
      </w:r>
    </w:p>
    <w:p w14:paraId="21D0FC21">
      <w:pPr>
        <w:spacing w:line="400" w:lineRule="exact"/>
        <w:ind w:firstLine="735" w:firstLineChars="350"/>
        <w:rPr>
          <w:rFonts w:ascii="宋体" w:hAnsi="宋体"/>
          <w:sz w:val="21"/>
          <w:szCs w:val="21"/>
        </w:rPr>
      </w:pPr>
      <w:r>
        <w:rPr>
          <w:rFonts w:hint="eastAsia" w:ascii="宋体" w:hAnsi="宋体"/>
          <w:sz w:val="21"/>
          <w:szCs w:val="21"/>
        </w:rPr>
        <w:t xml:space="preserve">4）不合格及纠正措施； </w:t>
      </w:r>
    </w:p>
    <w:p w14:paraId="40C251D8">
      <w:pPr>
        <w:spacing w:line="400" w:lineRule="exact"/>
        <w:ind w:firstLine="735" w:firstLineChars="350"/>
        <w:rPr>
          <w:rFonts w:ascii="宋体" w:hAnsi="宋体"/>
          <w:sz w:val="21"/>
          <w:szCs w:val="21"/>
        </w:rPr>
      </w:pPr>
      <w:r>
        <w:rPr>
          <w:rFonts w:hint="eastAsia" w:ascii="宋体" w:hAnsi="宋体"/>
          <w:sz w:val="21"/>
          <w:szCs w:val="21"/>
        </w:rPr>
        <w:t xml:space="preserve">5）监视和测量结果； </w:t>
      </w:r>
    </w:p>
    <w:p w14:paraId="67E74E4A">
      <w:pPr>
        <w:spacing w:line="400" w:lineRule="exact"/>
        <w:ind w:firstLine="735" w:firstLineChars="350"/>
        <w:rPr>
          <w:rFonts w:ascii="宋体" w:hAnsi="宋体"/>
          <w:sz w:val="21"/>
          <w:szCs w:val="21"/>
        </w:rPr>
      </w:pPr>
      <w:r>
        <w:rPr>
          <w:rFonts w:hint="eastAsia" w:ascii="宋体" w:hAnsi="宋体"/>
          <w:sz w:val="21"/>
          <w:szCs w:val="21"/>
        </w:rPr>
        <w:t xml:space="preserve">6）审核结果； </w:t>
      </w:r>
    </w:p>
    <w:p w14:paraId="04BD3B50">
      <w:pPr>
        <w:spacing w:line="400" w:lineRule="exact"/>
        <w:ind w:firstLine="735" w:firstLineChars="350"/>
        <w:rPr>
          <w:rFonts w:ascii="宋体" w:hAnsi="宋体"/>
          <w:sz w:val="21"/>
          <w:szCs w:val="21"/>
        </w:rPr>
      </w:pPr>
      <w:r>
        <w:rPr>
          <w:rFonts w:hint="eastAsia" w:ascii="宋体" w:hAnsi="宋体"/>
          <w:sz w:val="21"/>
          <w:szCs w:val="21"/>
        </w:rPr>
        <w:t xml:space="preserve">7）外部供方的绩效。 </w:t>
      </w:r>
    </w:p>
    <w:p w14:paraId="6C2A7EEC">
      <w:pPr>
        <w:spacing w:line="400" w:lineRule="exact"/>
        <w:ind w:firstLine="480"/>
        <w:rPr>
          <w:rFonts w:ascii="宋体" w:hAnsi="宋体"/>
          <w:sz w:val="21"/>
          <w:szCs w:val="21"/>
        </w:rPr>
      </w:pPr>
      <w:r>
        <w:rPr>
          <w:rFonts w:hint="eastAsia" w:ascii="宋体" w:hAnsi="宋体"/>
          <w:sz w:val="21"/>
          <w:szCs w:val="21"/>
        </w:rPr>
        <w:t xml:space="preserve">d）资源的充分性； </w:t>
      </w:r>
    </w:p>
    <w:p w14:paraId="0117C1E7">
      <w:pPr>
        <w:spacing w:line="400" w:lineRule="exact"/>
        <w:ind w:firstLine="480"/>
        <w:rPr>
          <w:rFonts w:ascii="宋体" w:hAnsi="宋体"/>
          <w:sz w:val="21"/>
          <w:szCs w:val="21"/>
        </w:rPr>
      </w:pPr>
      <w:r>
        <w:rPr>
          <w:rFonts w:hint="eastAsia" w:ascii="宋体" w:hAnsi="宋体"/>
          <w:sz w:val="21"/>
          <w:szCs w:val="21"/>
        </w:rPr>
        <w:t xml:space="preserve">e）应对风险和机遇所采取措施的有效性（见6.1）； </w:t>
      </w:r>
    </w:p>
    <w:p w14:paraId="001C4195">
      <w:pPr>
        <w:spacing w:line="400" w:lineRule="exact"/>
        <w:ind w:firstLine="420" w:firstLineChars="200"/>
        <w:rPr>
          <w:rFonts w:ascii="宋体" w:hAnsi="宋体"/>
          <w:sz w:val="21"/>
          <w:szCs w:val="21"/>
        </w:rPr>
      </w:pPr>
      <w:r>
        <w:rPr>
          <w:rFonts w:hint="eastAsia" w:ascii="宋体" w:hAnsi="宋体"/>
          <w:sz w:val="21"/>
          <w:szCs w:val="21"/>
        </w:rPr>
        <w:t xml:space="preserve">f）改进的机会； </w:t>
      </w:r>
    </w:p>
    <w:p w14:paraId="55ECD4F3">
      <w:pPr>
        <w:pStyle w:val="28"/>
        <w:spacing w:line="400" w:lineRule="exact"/>
        <w:ind w:firstLine="420"/>
        <w:rPr>
          <w:bCs/>
          <w:color w:val="auto"/>
          <w:sz w:val="21"/>
        </w:rPr>
      </w:pPr>
      <w:r>
        <w:rPr>
          <w:rFonts w:hint="eastAsia"/>
          <w:bCs/>
          <w:color w:val="auto"/>
          <w:sz w:val="21"/>
        </w:rPr>
        <w:t xml:space="preserve">g）质量经济性分析报告； </w:t>
      </w:r>
    </w:p>
    <w:p w14:paraId="6525AD95">
      <w:pPr>
        <w:pStyle w:val="28"/>
        <w:spacing w:line="400" w:lineRule="exact"/>
        <w:ind w:firstLine="420"/>
        <w:rPr>
          <w:bCs/>
          <w:color w:val="auto"/>
          <w:sz w:val="21"/>
        </w:rPr>
      </w:pPr>
      <w:r>
        <w:rPr>
          <w:rFonts w:hint="eastAsia"/>
          <w:bCs/>
          <w:color w:val="auto"/>
          <w:sz w:val="21"/>
        </w:rPr>
        <w:t>h）重大质量问题的归零情况。</w:t>
      </w:r>
      <w:bookmarkStart w:id="159" w:name="_Toc495838176"/>
    </w:p>
    <w:p w14:paraId="1BF106F4">
      <w:pPr>
        <w:spacing w:line="400" w:lineRule="exact"/>
        <w:rPr>
          <w:rFonts w:ascii="宋体" w:hAnsi="宋体"/>
          <w:b/>
          <w:bCs/>
          <w:sz w:val="21"/>
          <w:szCs w:val="21"/>
        </w:rPr>
      </w:pPr>
      <w:r>
        <w:rPr>
          <w:rFonts w:hint="eastAsia" w:ascii="宋体" w:hAnsi="宋体"/>
          <w:b/>
          <w:bCs/>
          <w:sz w:val="21"/>
          <w:szCs w:val="21"/>
        </w:rPr>
        <w:t>9.3.3评审输出</w:t>
      </w:r>
      <w:bookmarkEnd w:id="159"/>
    </w:p>
    <w:p w14:paraId="11D163B8">
      <w:pPr>
        <w:spacing w:line="400" w:lineRule="exact"/>
        <w:ind w:firstLine="480"/>
        <w:rPr>
          <w:rFonts w:ascii="宋体" w:hAnsi="宋体"/>
          <w:sz w:val="21"/>
          <w:szCs w:val="21"/>
        </w:rPr>
      </w:pPr>
      <w:r>
        <w:rPr>
          <w:rFonts w:hint="eastAsia" w:ascii="宋体" w:hAnsi="宋体"/>
          <w:sz w:val="21"/>
          <w:szCs w:val="21"/>
        </w:rPr>
        <w:t>管理评审的输出形成《管理评审报告》，包括与以下方面有关的任何决定和措施：</w:t>
      </w:r>
    </w:p>
    <w:p w14:paraId="1EEFD8BF">
      <w:pPr>
        <w:spacing w:line="400" w:lineRule="exact"/>
        <w:ind w:firstLine="480"/>
        <w:rPr>
          <w:rFonts w:ascii="宋体" w:hAnsi="宋体"/>
          <w:sz w:val="21"/>
          <w:szCs w:val="21"/>
        </w:rPr>
      </w:pPr>
      <w:r>
        <w:rPr>
          <w:rFonts w:hint="eastAsia" w:ascii="宋体" w:hAnsi="宋体"/>
          <w:sz w:val="21"/>
          <w:szCs w:val="21"/>
        </w:rPr>
        <w:t>a) 改进的机会；</w:t>
      </w:r>
    </w:p>
    <w:p w14:paraId="1809F17A">
      <w:pPr>
        <w:spacing w:line="400" w:lineRule="exact"/>
        <w:ind w:firstLine="420" w:firstLineChars="200"/>
        <w:rPr>
          <w:rFonts w:ascii="宋体" w:hAnsi="宋体"/>
          <w:sz w:val="21"/>
          <w:szCs w:val="21"/>
        </w:rPr>
      </w:pPr>
      <w:r>
        <w:rPr>
          <w:rFonts w:hint="eastAsia" w:ascii="宋体" w:hAnsi="宋体"/>
          <w:sz w:val="21"/>
          <w:szCs w:val="21"/>
        </w:rPr>
        <w:t xml:space="preserve">b）质量管理体系所需的变更； </w:t>
      </w:r>
    </w:p>
    <w:p w14:paraId="08D11DEF">
      <w:pPr>
        <w:spacing w:line="400" w:lineRule="exact"/>
        <w:ind w:firstLine="420" w:firstLineChars="200"/>
        <w:rPr>
          <w:rFonts w:ascii="宋体" w:hAnsi="宋体"/>
          <w:sz w:val="21"/>
          <w:szCs w:val="21"/>
        </w:rPr>
      </w:pPr>
      <w:r>
        <w:rPr>
          <w:rFonts w:hint="eastAsia" w:ascii="宋体" w:hAnsi="宋体"/>
          <w:sz w:val="21"/>
          <w:szCs w:val="21"/>
        </w:rPr>
        <w:t xml:space="preserve">c）资源需求； </w:t>
      </w:r>
    </w:p>
    <w:p w14:paraId="531D6D97">
      <w:pPr>
        <w:pStyle w:val="28"/>
        <w:spacing w:line="400" w:lineRule="exact"/>
        <w:ind w:firstLine="420"/>
        <w:rPr>
          <w:bCs/>
          <w:color w:val="auto"/>
          <w:sz w:val="21"/>
        </w:rPr>
      </w:pPr>
      <w:r>
        <w:rPr>
          <w:rFonts w:hint="eastAsia"/>
          <w:bCs/>
          <w:color w:val="auto"/>
          <w:sz w:val="21"/>
        </w:rPr>
        <w:t xml:space="preserve">d）顾客提出的改进要求。 </w:t>
      </w:r>
    </w:p>
    <w:p w14:paraId="39C95942">
      <w:pPr>
        <w:pStyle w:val="28"/>
        <w:spacing w:line="400" w:lineRule="exact"/>
        <w:ind w:firstLine="420"/>
        <w:rPr>
          <w:rFonts w:ascii="宋体" w:hAnsi="宋体" w:eastAsia="宋体"/>
          <w:bCs/>
          <w:color w:val="auto"/>
          <w:sz w:val="21"/>
        </w:rPr>
      </w:pPr>
      <w:r>
        <w:rPr>
          <w:rFonts w:hint="eastAsia" w:ascii="宋体" w:hAnsi="宋体" w:eastAsia="宋体"/>
          <w:bCs/>
          <w:color w:val="auto"/>
          <w:sz w:val="21"/>
        </w:rPr>
        <w:t>质量管理部负责保留管理评审过程及其结果的完整记录。</w:t>
      </w:r>
    </w:p>
    <w:p w14:paraId="23F2C371">
      <w:pPr>
        <w:pStyle w:val="28"/>
        <w:spacing w:line="400" w:lineRule="exact"/>
        <w:ind w:firstLine="0" w:firstLineChars="0"/>
        <w:rPr>
          <w:rFonts w:ascii="宋体" w:hAnsi="宋体" w:eastAsia="宋体"/>
          <w:sz w:val="21"/>
        </w:rPr>
      </w:pPr>
      <w:r>
        <w:rPr>
          <w:rFonts w:hint="eastAsia"/>
          <w:bCs/>
          <w:sz w:val="21"/>
        </w:rPr>
        <w:t>管理评审提出的改进措施，由质量管理部负责对其落实情况和实施效果进行跟验证。</w:t>
      </w:r>
    </w:p>
    <w:p w14:paraId="344FA935">
      <w:pPr>
        <w:pStyle w:val="2"/>
        <w:spacing w:line="400" w:lineRule="exact"/>
        <w:rPr>
          <w:rFonts w:ascii="宋体" w:hAnsi="宋体"/>
          <w:kern w:val="2"/>
          <w:sz w:val="32"/>
          <w:szCs w:val="32"/>
        </w:rPr>
      </w:pPr>
      <w:bookmarkStart w:id="160" w:name="_Toc509844827"/>
      <w:bookmarkStart w:id="161" w:name="_Toc509844137"/>
      <w:bookmarkStart w:id="162" w:name="_Toc521509471"/>
      <w:bookmarkStart w:id="163" w:name="_Toc509845159"/>
      <w:r>
        <w:rPr>
          <w:rFonts w:hint="eastAsia" w:ascii="宋体" w:hAnsi="宋体"/>
          <w:sz w:val="28"/>
          <w:szCs w:val="28"/>
        </w:rPr>
        <w:t>10改进</w:t>
      </w:r>
      <w:bookmarkEnd w:id="160"/>
      <w:bookmarkEnd w:id="161"/>
      <w:bookmarkEnd w:id="162"/>
      <w:bookmarkEnd w:id="163"/>
      <w:bookmarkStart w:id="164" w:name="_Toc495838178"/>
    </w:p>
    <w:p w14:paraId="65145A18">
      <w:pPr>
        <w:pStyle w:val="3"/>
        <w:spacing w:before="120" w:beforeLines="50" w:after="120" w:afterLines="50" w:line="400" w:lineRule="exact"/>
        <w:rPr>
          <w:rFonts w:ascii="宋体" w:hAnsi="宋体" w:eastAsia="宋体"/>
          <w:kern w:val="2"/>
        </w:rPr>
      </w:pPr>
      <w:bookmarkStart w:id="165" w:name="_Toc509844138"/>
      <w:bookmarkStart w:id="166" w:name="_Toc509844828"/>
      <w:bookmarkStart w:id="167" w:name="_Toc521509472"/>
      <w:bookmarkStart w:id="168" w:name="_Toc509845160"/>
      <w:r>
        <w:rPr>
          <w:rFonts w:hint="eastAsia" w:ascii="宋体" w:hAnsi="宋体" w:eastAsia="宋体"/>
          <w:sz w:val="24"/>
          <w:szCs w:val="24"/>
        </w:rPr>
        <w:t>10.1 总则</w:t>
      </w:r>
      <w:bookmarkEnd w:id="164"/>
      <w:bookmarkEnd w:id="165"/>
      <w:bookmarkEnd w:id="166"/>
      <w:bookmarkEnd w:id="167"/>
      <w:bookmarkEnd w:id="168"/>
    </w:p>
    <w:p w14:paraId="6D60C129">
      <w:pPr>
        <w:widowControl/>
        <w:spacing w:line="400" w:lineRule="exact"/>
        <w:jc w:val="left"/>
        <w:rPr>
          <w:rFonts w:ascii="宋体" w:hAnsi="宋体"/>
          <w:sz w:val="21"/>
          <w:szCs w:val="21"/>
        </w:rPr>
      </w:pPr>
      <w:r>
        <w:rPr>
          <w:rFonts w:hint="eastAsia" w:ascii="宋体" w:hAnsi="宋体"/>
          <w:sz w:val="21"/>
          <w:szCs w:val="21"/>
        </w:rPr>
        <w:t xml:space="preserve">公司制定并实施《不合格和纠正措施控制程序》，以确定、选择利用各种改进机会，并采取必要措施，以满足顾客要求和增强顾客满意。这应包括： </w:t>
      </w:r>
    </w:p>
    <w:p w14:paraId="77CD40FE">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a）改进产品和服务，以满足要求并应对未来的需求和期望； </w:t>
      </w:r>
    </w:p>
    <w:p w14:paraId="5269C81C">
      <w:pPr>
        <w:widowControl/>
        <w:spacing w:line="400" w:lineRule="exact"/>
        <w:ind w:firstLine="420" w:firstLineChars="200"/>
        <w:jc w:val="left"/>
        <w:rPr>
          <w:rFonts w:ascii="宋体" w:hAnsi="宋体"/>
          <w:sz w:val="21"/>
          <w:szCs w:val="21"/>
        </w:rPr>
      </w:pPr>
      <w:r>
        <w:rPr>
          <w:rFonts w:hint="eastAsia" w:ascii="宋体" w:hAnsi="宋体"/>
          <w:sz w:val="21"/>
          <w:szCs w:val="21"/>
        </w:rPr>
        <w:t xml:space="preserve">b）纠正、预防或减少不利影响； </w:t>
      </w:r>
    </w:p>
    <w:p w14:paraId="1E8F34C5">
      <w:pPr>
        <w:widowControl/>
        <w:spacing w:line="400" w:lineRule="exact"/>
        <w:ind w:firstLine="420" w:firstLineChars="200"/>
        <w:jc w:val="left"/>
        <w:rPr>
          <w:rFonts w:ascii="宋体" w:hAnsi="宋体"/>
          <w:sz w:val="21"/>
          <w:szCs w:val="21"/>
        </w:rPr>
      </w:pPr>
      <w:r>
        <w:rPr>
          <w:rFonts w:hint="eastAsia" w:ascii="宋体" w:hAnsi="宋体"/>
          <w:sz w:val="21"/>
          <w:szCs w:val="21"/>
        </w:rPr>
        <w:t>c）通过采取纠正、纠正措施、持续改进、突变、创新或重组等措施改进质量管理体系的绩效和有效性。</w:t>
      </w:r>
    </w:p>
    <w:p w14:paraId="52079632">
      <w:pPr>
        <w:pStyle w:val="3"/>
        <w:spacing w:before="120" w:beforeLines="50" w:after="120" w:afterLines="50" w:line="400" w:lineRule="exact"/>
        <w:rPr>
          <w:rFonts w:ascii="宋体" w:hAnsi="宋体" w:eastAsia="宋体"/>
          <w:sz w:val="24"/>
          <w:szCs w:val="24"/>
        </w:rPr>
      </w:pPr>
      <w:bookmarkStart w:id="169" w:name="_Toc521509473"/>
      <w:r>
        <w:rPr>
          <w:rFonts w:hint="eastAsia" w:ascii="宋体" w:hAnsi="宋体" w:eastAsia="宋体"/>
          <w:sz w:val="24"/>
          <w:szCs w:val="24"/>
        </w:rPr>
        <w:t>10.2 不合格和纠正措施</w:t>
      </w:r>
      <w:bookmarkEnd w:id="169"/>
    </w:p>
    <w:p w14:paraId="0C968B54">
      <w:pPr>
        <w:spacing w:line="400" w:lineRule="exact"/>
        <w:ind w:firstLine="424" w:firstLineChars="202"/>
        <w:rPr>
          <w:rFonts w:ascii="Calibri" w:hAnsi="Calibri"/>
        </w:rPr>
      </w:pPr>
      <w:r>
        <w:rPr>
          <w:rFonts w:hint="eastAsia" w:ascii="宋体" w:hAnsi="宋体" w:cs="Times New Roman"/>
          <w:kern w:val="2"/>
          <w:sz w:val="21"/>
          <w:szCs w:val="21"/>
        </w:rPr>
        <w:t>管理者代表主持并组织协调纠正措施的实施。质量管理部负责与生产过程有关的纠正措施实施的管理，并对纠正措施有效性的验证；负责由纠正措施引起的体系文件的更改和控制。研发部负责与设计和开发过程有关的纠正措施实施的管理，并对纠正措施有效性实施验证。不合格发生的责任部门负责不合格原因的分析，制定并组织实施纠正措施。</w:t>
      </w:r>
    </w:p>
    <w:p w14:paraId="6550DDC2">
      <w:pPr>
        <w:pStyle w:val="5"/>
        <w:spacing w:line="400" w:lineRule="exact"/>
        <w:rPr>
          <w:rFonts w:hAnsi="宋体"/>
          <w:sz w:val="21"/>
          <w:szCs w:val="21"/>
        </w:rPr>
      </w:pPr>
      <w:r>
        <w:rPr>
          <w:rFonts w:hint="eastAsia" w:hAnsi="宋体"/>
          <w:sz w:val="21"/>
          <w:szCs w:val="21"/>
        </w:rPr>
        <w:t>10.2.1当出现不合格，包括投诉所引起的不合格，公司应：</w:t>
      </w:r>
    </w:p>
    <w:p w14:paraId="5A0BC9B6">
      <w:pPr>
        <w:spacing w:line="400" w:lineRule="exact"/>
        <w:ind w:firstLine="480"/>
        <w:rPr>
          <w:rFonts w:ascii="宋体" w:hAnsi="宋体"/>
          <w:sz w:val="21"/>
          <w:szCs w:val="21"/>
        </w:rPr>
      </w:pPr>
      <w:r>
        <w:rPr>
          <w:rFonts w:hint="eastAsia" w:ascii="宋体" w:hAnsi="宋体"/>
          <w:sz w:val="21"/>
          <w:szCs w:val="21"/>
        </w:rPr>
        <w:t>a)</w:t>
      </w:r>
      <w:r>
        <w:rPr>
          <w:rFonts w:hint="eastAsia" w:ascii="宋体" w:hAnsi="宋体"/>
          <w:sz w:val="24"/>
        </w:rPr>
        <w:t xml:space="preserve"> </w:t>
      </w:r>
      <w:r>
        <w:rPr>
          <w:rFonts w:hint="eastAsia" w:ascii="宋体" w:hAnsi="宋体" w:cs="Times New Roman"/>
          <w:kern w:val="2"/>
          <w:sz w:val="21"/>
          <w:szCs w:val="21"/>
        </w:rPr>
        <w:t>采取相应的措施或对策，控制和纠正不合格，消除不合格的危害和影响，对不合格进行处置，进一步消除或减少不合格的影响；</w:t>
      </w:r>
      <w:r>
        <w:rPr>
          <w:rFonts w:hint="eastAsia" w:ascii="宋体" w:hAnsi="宋体"/>
          <w:sz w:val="21"/>
          <w:szCs w:val="21"/>
        </w:rPr>
        <w:t xml:space="preserve"> </w:t>
      </w:r>
    </w:p>
    <w:p w14:paraId="0B28EBB6">
      <w:pPr>
        <w:spacing w:line="400" w:lineRule="exact"/>
        <w:ind w:firstLine="480"/>
        <w:rPr>
          <w:rFonts w:ascii="宋体" w:hAnsi="宋体"/>
          <w:sz w:val="21"/>
          <w:szCs w:val="21"/>
        </w:rPr>
      </w:pPr>
      <w:r>
        <w:rPr>
          <w:rFonts w:hint="eastAsia" w:ascii="宋体" w:hAnsi="宋体"/>
          <w:sz w:val="21"/>
          <w:szCs w:val="21"/>
        </w:rPr>
        <w:t>b）通过下列活动，评价是否需要采取措施，以消除产生不合格的原因，避免其再次发生或在其他场合发生：</w:t>
      </w:r>
    </w:p>
    <w:p w14:paraId="399C9C7B">
      <w:pPr>
        <w:spacing w:line="400" w:lineRule="exact"/>
        <w:ind w:firstLine="735" w:firstLineChars="350"/>
        <w:rPr>
          <w:rFonts w:ascii="宋体" w:hAnsi="宋体"/>
          <w:sz w:val="21"/>
          <w:szCs w:val="21"/>
        </w:rPr>
      </w:pPr>
      <w:r>
        <w:rPr>
          <w:rFonts w:hint="eastAsia" w:ascii="宋体" w:hAnsi="宋体"/>
          <w:sz w:val="21"/>
          <w:szCs w:val="21"/>
        </w:rPr>
        <w:t>1）评审和分析不合格，</w:t>
      </w:r>
      <w:r>
        <w:rPr>
          <w:rFonts w:hint="eastAsia" w:ascii="宋体" w:hAnsi="宋体" w:cs="Times New Roman"/>
          <w:kern w:val="2"/>
          <w:sz w:val="21"/>
          <w:szCs w:val="21"/>
        </w:rPr>
        <w:t>调查不合格的情况、等级、危害程度、影响范围等，评定和分析不合格的性质；</w:t>
      </w:r>
      <w:r>
        <w:rPr>
          <w:rFonts w:hint="eastAsia" w:ascii="宋体" w:hAnsi="宋体"/>
          <w:sz w:val="21"/>
          <w:szCs w:val="21"/>
        </w:rPr>
        <w:t xml:space="preserve"> </w:t>
      </w:r>
    </w:p>
    <w:p w14:paraId="53ECD896">
      <w:pPr>
        <w:spacing w:line="400" w:lineRule="exact"/>
        <w:ind w:firstLine="735" w:firstLineChars="350"/>
        <w:rPr>
          <w:rFonts w:ascii="宋体" w:hAnsi="宋体"/>
          <w:sz w:val="21"/>
          <w:szCs w:val="21"/>
        </w:rPr>
      </w:pPr>
      <w:r>
        <w:rPr>
          <w:rFonts w:hint="eastAsia" w:ascii="宋体" w:hAnsi="宋体"/>
          <w:sz w:val="21"/>
          <w:szCs w:val="21"/>
        </w:rPr>
        <w:t>2）确定不合格的原因；</w:t>
      </w:r>
    </w:p>
    <w:p w14:paraId="174099D2">
      <w:pPr>
        <w:spacing w:line="400" w:lineRule="exact"/>
        <w:ind w:firstLine="735" w:firstLineChars="350"/>
        <w:rPr>
          <w:rFonts w:ascii="宋体" w:hAnsi="宋体"/>
          <w:sz w:val="21"/>
          <w:szCs w:val="21"/>
        </w:rPr>
      </w:pPr>
      <w:r>
        <w:rPr>
          <w:rFonts w:hint="eastAsia" w:ascii="宋体" w:hAnsi="宋体"/>
          <w:sz w:val="21"/>
          <w:szCs w:val="21"/>
        </w:rPr>
        <w:t>3）确定是否存在或可能发生类似的不合格，实施举一反三；</w:t>
      </w:r>
    </w:p>
    <w:p w14:paraId="7F737F78">
      <w:pPr>
        <w:spacing w:line="400" w:lineRule="exact"/>
        <w:ind w:firstLine="480"/>
        <w:rPr>
          <w:rFonts w:ascii="宋体" w:hAnsi="宋体"/>
          <w:sz w:val="21"/>
          <w:szCs w:val="21"/>
        </w:rPr>
      </w:pPr>
      <w:r>
        <w:rPr>
          <w:rFonts w:hint="eastAsia" w:ascii="宋体" w:hAnsi="宋体"/>
          <w:sz w:val="21"/>
          <w:szCs w:val="21"/>
        </w:rPr>
        <w:t xml:space="preserve">c) 责任部门制定并实施纠正措施，评审、验证纠正措施的有效性，确保其得到有效实施； </w:t>
      </w:r>
    </w:p>
    <w:p w14:paraId="4AFA3C80">
      <w:pPr>
        <w:spacing w:line="400" w:lineRule="exact"/>
        <w:ind w:firstLine="480"/>
        <w:rPr>
          <w:rFonts w:ascii="宋体" w:hAnsi="宋体"/>
          <w:sz w:val="21"/>
          <w:szCs w:val="21"/>
        </w:rPr>
      </w:pPr>
      <w:r>
        <w:rPr>
          <w:rFonts w:hint="eastAsia" w:ascii="宋体" w:hAnsi="宋体"/>
          <w:sz w:val="21"/>
          <w:szCs w:val="21"/>
        </w:rPr>
        <w:t>d) 评审所采取的纠正措施的有效性；当所采取的措施涉及软件</w:t>
      </w:r>
      <w:r>
        <w:rPr>
          <w:rFonts w:ascii="宋体" w:hAnsi="宋体"/>
          <w:sz w:val="21"/>
          <w:szCs w:val="21"/>
        </w:rPr>
        <w:t>缺陷、故障和失效</w:t>
      </w:r>
      <w:r>
        <w:rPr>
          <w:rFonts w:hint="eastAsia" w:ascii="宋体" w:hAnsi="宋体"/>
          <w:sz w:val="21"/>
          <w:szCs w:val="21"/>
        </w:rPr>
        <w:t>等问题影响产品功能、性能的重要变更时，应在措施的实施前得到必要的评审和验证，并确保所有相关的文件、培训和记录得到更新和批准。顾客有要求时，应经顾客确认；</w:t>
      </w:r>
    </w:p>
    <w:p w14:paraId="3FAC00D3">
      <w:pPr>
        <w:spacing w:line="400" w:lineRule="exact"/>
        <w:ind w:firstLine="480"/>
        <w:rPr>
          <w:rFonts w:ascii="宋体" w:hAnsi="宋体"/>
          <w:sz w:val="21"/>
          <w:szCs w:val="21"/>
        </w:rPr>
      </w:pPr>
      <w:r>
        <w:rPr>
          <w:rFonts w:hint="eastAsia" w:ascii="宋体" w:hAnsi="宋体"/>
          <w:sz w:val="21"/>
          <w:szCs w:val="21"/>
        </w:rPr>
        <w:t>e) 需要时，公司更新策划期间确定的风险和机遇，以及重新策划风险和机遇的措施；</w:t>
      </w:r>
    </w:p>
    <w:p w14:paraId="4F489D8C">
      <w:pPr>
        <w:spacing w:line="400" w:lineRule="exact"/>
        <w:ind w:firstLine="480"/>
        <w:rPr>
          <w:rFonts w:ascii="宋体" w:hAnsi="宋体"/>
          <w:sz w:val="21"/>
          <w:szCs w:val="21"/>
        </w:rPr>
      </w:pPr>
      <w:r>
        <w:rPr>
          <w:rFonts w:hint="eastAsia" w:ascii="宋体" w:hAnsi="宋体"/>
          <w:sz w:val="21"/>
          <w:szCs w:val="21"/>
        </w:rPr>
        <w:t>f) 需要时，变更质量管理体系，可能涉及机构重组、流程变革、技术创新、资源配备等；以确保质量管理体系的有效性、充分性和适宜性。</w:t>
      </w:r>
    </w:p>
    <w:p w14:paraId="2E48784C">
      <w:pPr>
        <w:spacing w:line="400" w:lineRule="exact"/>
        <w:ind w:firstLine="480"/>
        <w:rPr>
          <w:rFonts w:ascii="宋体" w:hAnsi="宋体"/>
          <w:sz w:val="21"/>
          <w:szCs w:val="21"/>
        </w:rPr>
      </w:pPr>
      <w:r>
        <w:rPr>
          <w:rFonts w:hint="eastAsia" w:ascii="宋体" w:hAnsi="宋体"/>
          <w:sz w:val="21"/>
          <w:szCs w:val="21"/>
        </w:rPr>
        <w:t>纠正措施应与不合格所产生的影响相适应。</w:t>
      </w:r>
    </w:p>
    <w:p w14:paraId="523703D5">
      <w:pPr>
        <w:pStyle w:val="28"/>
        <w:spacing w:line="400" w:lineRule="exact"/>
        <w:ind w:firstLine="420"/>
        <w:rPr>
          <w:bCs/>
          <w:color w:val="auto"/>
          <w:sz w:val="21"/>
        </w:rPr>
      </w:pPr>
      <w:r>
        <w:rPr>
          <w:rFonts w:hint="eastAsia"/>
          <w:bCs/>
          <w:color w:val="auto"/>
          <w:sz w:val="21"/>
        </w:rPr>
        <w:t>当产品和服务发生严重、重大质量问题时，公司应针对问题采取纠正措施，研发部、质量管理部负责实施问题的技术归零和管理归零。</w:t>
      </w:r>
    </w:p>
    <w:p w14:paraId="42F0A1D8">
      <w:pPr>
        <w:pStyle w:val="28"/>
        <w:spacing w:line="400" w:lineRule="exact"/>
        <w:ind w:firstLine="420"/>
        <w:rPr>
          <w:bCs/>
          <w:sz w:val="21"/>
        </w:rPr>
      </w:pPr>
      <w:r>
        <w:rPr>
          <w:rFonts w:hint="eastAsia"/>
          <w:bCs/>
          <w:color w:val="auto"/>
          <w:sz w:val="21"/>
        </w:rPr>
        <w:t>当确认供方对不合格的原因负责，综合行政部</w:t>
      </w:r>
      <w:r>
        <w:rPr>
          <w:rFonts w:hint="eastAsia"/>
          <w:bCs/>
          <w:sz w:val="21"/>
        </w:rPr>
        <w:t>向供方提出采取纠正和纠正措施要求，并评价供方所采取措施的有效性。</w:t>
      </w:r>
    </w:p>
    <w:p w14:paraId="52AFE70F">
      <w:pPr>
        <w:pStyle w:val="28"/>
        <w:spacing w:line="400" w:lineRule="exact"/>
        <w:ind w:firstLine="420"/>
        <w:rPr>
          <w:rFonts w:ascii="宋体" w:hAnsi="宋体" w:eastAsia="宋体"/>
          <w:bCs/>
          <w:color w:val="auto"/>
          <w:sz w:val="21"/>
        </w:rPr>
      </w:pPr>
      <w:r>
        <w:rPr>
          <w:rFonts w:hint="eastAsia"/>
          <w:bCs/>
          <w:sz w:val="21"/>
        </w:rPr>
        <w:t>公司应按照GJB841建立并运行产品和服务故障报告分析和纠正措施系统，并</w:t>
      </w:r>
      <w:r>
        <w:rPr>
          <w:rFonts w:hint="eastAsia"/>
          <w:bCs/>
          <w:color w:val="auto"/>
          <w:sz w:val="21"/>
        </w:rPr>
        <w:t>将与最终产品和服务质量有关的问题和纠正措施及其结果向顾客通报。</w:t>
      </w:r>
      <w:r>
        <w:rPr>
          <w:rFonts w:ascii="宋体" w:hAnsi="宋体" w:eastAsia="宋体"/>
          <w:bCs/>
          <w:color w:val="auto"/>
          <w:sz w:val="21"/>
        </w:rPr>
        <w:t xml:space="preserve"> </w:t>
      </w:r>
    </w:p>
    <w:p w14:paraId="4959BA93">
      <w:pPr>
        <w:pStyle w:val="28"/>
        <w:spacing w:line="400" w:lineRule="exact"/>
        <w:ind w:firstLine="420"/>
        <w:rPr>
          <w:rFonts w:ascii="宋体" w:hAnsi="宋体" w:eastAsia="宋体"/>
          <w:color w:val="auto"/>
          <w:sz w:val="21"/>
        </w:rPr>
      </w:pPr>
      <w:r>
        <w:rPr>
          <w:rFonts w:hint="eastAsia" w:ascii="宋体" w:hAnsi="宋体" w:eastAsia="宋体"/>
          <w:color w:val="auto"/>
          <w:sz w:val="21"/>
        </w:rPr>
        <w:t>10.2.2 各职能部门按《不合格和纠正措施控制程序》规定实施并保留记录，作为下列事项的证据：</w:t>
      </w:r>
    </w:p>
    <w:p w14:paraId="3F8EC0AF">
      <w:pPr>
        <w:spacing w:line="400" w:lineRule="exact"/>
        <w:ind w:firstLine="420" w:firstLineChars="200"/>
        <w:rPr>
          <w:rFonts w:ascii="宋体" w:hAnsi="宋体"/>
          <w:sz w:val="21"/>
          <w:szCs w:val="21"/>
        </w:rPr>
      </w:pPr>
      <w:r>
        <w:rPr>
          <w:rFonts w:hint="eastAsia" w:ascii="宋体" w:hAnsi="宋体"/>
          <w:sz w:val="21"/>
          <w:szCs w:val="21"/>
        </w:rPr>
        <w:t>a)不合格的性质以及随后所采取的措施；</w:t>
      </w:r>
    </w:p>
    <w:p w14:paraId="51C45CB9">
      <w:pPr>
        <w:pStyle w:val="28"/>
        <w:spacing w:line="400" w:lineRule="exact"/>
        <w:ind w:firstLine="420"/>
        <w:rPr>
          <w:rFonts w:ascii="宋体" w:hAnsi="宋体" w:eastAsia="宋体"/>
          <w:color w:val="auto"/>
          <w:sz w:val="21"/>
        </w:rPr>
      </w:pPr>
      <w:r>
        <w:rPr>
          <w:rFonts w:hint="eastAsia" w:ascii="宋体" w:hAnsi="宋体" w:eastAsia="宋体"/>
          <w:color w:val="auto"/>
          <w:sz w:val="21"/>
        </w:rPr>
        <w:t>b）纠正措施的结果。</w:t>
      </w:r>
    </w:p>
    <w:p w14:paraId="642350DB">
      <w:pPr>
        <w:pStyle w:val="28"/>
        <w:spacing w:line="400" w:lineRule="exact"/>
        <w:ind w:firstLine="420"/>
        <w:rPr>
          <w:rFonts w:ascii="宋体" w:hAnsi="宋体" w:eastAsia="宋体"/>
          <w:color w:val="auto"/>
          <w:sz w:val="21"/>
        </w:rPr>
      </w:pPr>
    </w:p>
    <w:p w14:paraId="5908606A">
      <w:pPr>
        <w:pStyle w:val="3"/>
        <w:spacing w:before="120" w:beforeLines="50" w:after="120" w:afterLines="50" w:line="400" w:lineRule="exact"/>
        <w:rPr>
          <w:rFonts w:ascii="宋体" w:hAnsi="宋体" w:eastAsia="宋体"/>
          <w:sz w:val="24"/>
          <w:szCs w:val="24"/>
        </w:rPr>
      </w:pPr>
      <w:bookmarkStart w:id="170" w:name="_Toc521509474"/>
      <w:bookmarkStart w:id="171" w:name="_Toc495838180"/>
      <w:r>
        <w:rPr>
          <w:rFonts w:hint="eastAsia" w:ascii="宋体" w:hAnsi="宋体" w:eastAsia="宋体"/>
          <w:sz w:val="24"/>
          <w:szCs w:val="24"/>
        </w:rPr>
        <w:t>10.3 持续改进</w:t>
      </w:r>
      <w:bookmarkEnd w:id="170"/>
      <w:bookmarkEnd w:id="171"/>
    </w:p>
    <w:p w14:paraId="772A65A9">
      <w:pPr>
        <w:spacing w:line="400" w:lineRule="exact"/>
        <w:ind w:firstLine="420"/>
        <w:rPr>
          <w:rFonts w:ascii="宋体" w:hAnsi="宋体"/>
          <w:sz w:val="21"/>
          <w:szCs w:val="21"/>
        </w:rPr>
      </w:pPr>
      <w:r>
        <w:rPr>
          <w:rFonts w:hint="eastAsia" w:ascii="宋体" w:hAnsi="宋体"/>
          <w:sz w:val="21"/>
          <w:szCs w:val="21"/>
        </w:rPr>
        <w:t>公司推行</w:t>
      </w:r>
      <w:r>
        <w:rPr>
          <w:rFonts w:ascii="宋体" w:hAnsi="宋体"/>
          <w:sz w:val="21"/>
          <w:szCs w:val="21"/>
        </w:rPr>
        <w:t>PDCA</w:t>
      </w:r>
      <w:r>
        <w:rPr>
          <w:rFonts w:hint="eastAsia" w:ascii="宋体" w:hAnsi="宋体"/>
          <w:sz w:val="21"/>
          <w:szCs w:val="21"/>
        </w:rPr>
        <w:t>管理理念，持续改进质量管理体系的适宜性、充分性和有效性。</w:t>
      </w:r>
    </w:p>
    <w:p w14:paraId="12DC8C7B">
      <w:pPr>
        <w:spacing w:line="400" w:lineRule="exact"/>
        <w:ind w:firstLine="420"/>
        <w:rPr>
          <w:rFonts w:ascii="宋体" w:hAnsi="宋体"/>
          <w:sz w:val="21"/>
          <w:szCs w:val="21"/>
        </w:rPr>
      </w:pPr>
      <w:r>
        <w:rPr>
          <w:rFonts w:hint="eastAsia" w:ascii="宋体" w:hAnsi="宋体"/>
          <w:sz w:val="21"/>
          <w:szCs w:val="21"/>
        </w:rPr>
        <w:t>公司利用方针、目标、审核结果、资料分析、纠正措施分析和评价的结果，以及管理评审输出的改进意见，确定是否存在持续改进的需求或机会，以持续改进管理体系的适宜性、充分性和有效性。</w:t>
      </w:r>
    </w:p>
    <w:p w14:paraId="5A184A92">
      <w:pPr>
        <w:widowControl/>
        <w:spacing w:line="400" w:lineRule="exact"/>
        <w:ind w:firstLine="420" w:firstLineChars="200"/>
        <w:jc w:val="left"/>
        <w:rPr>
          <w:rFonts w:ascii="楷体" w:hAnsi="楷体" w:eastAsia="楷体"/>
          <w:bCs/>
          <w:sz w:val="21"/>
          <w:szCs w:val="21"/>
        </w:rPr>
        <w:sectPr>
          <w:pgSz w:w="11906" w:h="16838"/>
          <w:pgMar w:top="1418" w:right="1418" w:bottom="1418" w:left="1701" w:header="851" w:footer="992" w:gutter="0"/>
          <w:cols w:space="720" w:num="1"/>
          <w:docGrid w:linePitch="312" w:charSpace="0"/>
        </w:sectPr>
      </w:pPr>
      <w:r>
        <w:rPr>
          <w:rFonts w:hint="eastAsia" w:ascii="楷体" w:hAnsi="楷体" w:eastAsia="楷体"/>
          <w:bCs/>
          <w:sz w:val="21"/>
          <w:szCs w:val="21"/>
        </w:rPr>
        <w:t>质量管理部组织编制和实施质量管理体系年度改进计划，并对完成情况进行评价。</w:t>
      </w:r>
    </w:p>
    <w:p w14:paraId="0B4BF145">
      <w:pPr>
        <w:pStyle w:val="2"/>
        <w:spacing w:line="400" w:lineRule="exact"/>
        <w:rPr>
          <w:rFonts w:ascii="宋体" w:hAnsi="宋体" w:cs="宋体"/>
          <w:sz w:val="28"/>
          <w:szCs w:val="28"/>
        </w:rPr>
      </w:pPr>
      <w:bookmarkStart w:id="172" w:name="_Toc521509475"/>
      <w:r>
        <w:rPr>
          <w:rFonts w:hint="eastAsia" w:ascii="宋体" w:hAnsi="宋体" w:cs="宋体"/>
          <w:sz w:val="28"/>
          <w:szCs w:val="28"/>
        </w:rPr>
        <w:t xml:space="preserve">附录A               </w:t>
      </w:r>
    </w:p>
    <w:p w14:paraId="7CFB46B1">
      <w:pPr>
        <w:pStyle w:val="2"/>
        <w:spacing w:line="400" w:lineRule="exact"/>
        <w:jc w:val="center"/>
        <w:rPr>
          <w:rFonts w:ascii="宋体" w:hAnsi="宋体" w:cs="宋体"/>
          <w:sz w:val="28"/>
          <w:szCs w:val="28"/>
        </w:rPr>
      </w:pPr>
      <w:r>
        <w:rPr>
          <w:rFonts w:hint="eastAsia" w:ascii="宋体" w:hAnsi="宋体" w:cs="宋体"/>
          <w:sz w:val="28"/>
          <w:szCs w:val="28"/>
        </w:rPr>
        <w:t>产品适用的法律、法规及标准目录</w:t>
      </w:r>
      <w:bookmarkEnd w:id="172"/>
    </w:p>
    <w:p w14:paraId="268EB607">
      <w:pPr>
        <w:pStyle w:val="39"/>
        <w:numPr>
          <w:ilvl w:val="0"/>
          <w:numId w:val="7"/>
        </w:numPr>
        <w:spacing w:line="360" w:lineRule="auto"/>
        <w:ind w:firstLineChars="0"/>
        <w:rPr>
          <w:szCs w:val="21"/>
        </w:rPr>
      </w:pPr>
      <w:r>
        <w:rPr>
          <w:rFonts w:hint="eastAsia"/>
          <w:szCs w:val="21"/>
        </w:rPr>
        <w:t>《中华</w:t>
      </w:r>
      <w:r>
        <w:rPr>
          <w:szCs w:val="21"/>
        </w:rPr>
        <w:t>人民共和国产品质量法》</w:t>
      </w:r>
    </w:p>
    <w:p w14:paraId="20A9DBAB">
      <w:pPr>
        <w:pStyle w:val="39"/>
        <w:numPr>
          <w:ilvl w:val="0"/>
          <w:numId w:val="7"/>
        </w:numPr>
        <w:spacing w:line="360" w:lineRule="auto"/>
        <w:ind w:firstLineChars="0"/>
        <w:rPr>
          <w:szCs w:val="21"/>
        </w:rPr>
      </w:pPr>
      <w:r>
        <w:rPr>
          <w:rFonts w:hint="eastAsia"/>
          <w:szCs w:val="21"/>
        </w:rPr>
        <w:t xml:space="preserve">《软件产品管理办法》   </w:t>
      </w:r>
    </w:p>
    <w:p w14:paraId="00741C13">
      <w:pPr>
        <w:pStyle w:val="39"/>
        <w:numPr>
          <w:ilvl w:val="0"/>
          <w:numId w:val="7"/>
        </w:numPr>
        <w:spacing w:line="360" w:lineRule="auto"/>
        <w:ind w:firstLineChars="0"/>
        <w:rPr>
          <w:szCs w:val="21"/>
        </w:rPr>
      </w:pPr>
      <w:r>
        <w:rPr>
          <w:rFonts w:hint="eastAsia"/>
          <w:szCs w:val="21"/>
        </w:rPr>
        <w:t>《软件企业认定标准及管理办法》</w:t>
      </w:r>
    </w:p>
    <w:p w14:paraId="7BD1C0E0">
      <w:pPr>
        <w:pStyle w:val="39"/>
        <w:numPr>
          <w:ilvl w:val="0"/>
          <w:numId w:val="7"/>
        </w:numPr>
        <w:spacing w:line="360" w:lineRule="auto"/>
        <w:ind w:firstLineChars="0"/>
        <w:rPr>
          <w:szCs w:val="21"/>
        </w:rPr>
      </w:pPr>
      <w:r>
        <w:rPr>
          <w:rFonts w:hint="eastAsia"/>
          <w:szCs w:val="21"/>
        </w:rPr>
        <w:t>《</w:t>
      </w:r>
      <w:r>
        <w:rPr>
          <w:szCs w:val="21"/>
        </w:rPr>
        <w:t>中华人民共和国合同法</w:t>
      </w:r>
      <w:r>
        <w:rPr>
          <w:rFonts w:hint="eastAsia"/>
          <w:szCs w:val="21"/>
        </w:rPr>
        <w:t>》</w:t>
      </w:r>
    </w:p>
    <w:p w14:paraId="287B1E1F">
      <w:pPr>
        <w:pStyle w:val="39"/>
        <w:numPr>
          <w:ilvl w:val="0"/>
          <w:numId w:val="7"/>
        </w:numPr>
        <w:spacing w:line="360" w:lineRule="auto"/>
        <w:ind w:firstLineChars="0"/>
        <w:rPr>
          <w:szCs w:val="21"/>
        </w:rPr>
      </w:pPr>
      <w:r>
        <w:rPr>
          <w:rFonts w:hint="eastAsia"/>
          <w:szCs w:val="21"/>
        </w:rPr>
        <w:t>《中华人民共和国安全生产法》</w:t>
      </w:r>
    </w:p>
    <w:p w14:paraId="6091D509">
      <w:pPr>
        <w:pStyle w:val="39"/>
        <w:numPr>
          <w:ilvl w:val="0"/>
          <w:numId w:val="7"/>
        </w:numPr>
        <w:spacing w:line="360" w:lineRule="auto"/>
        <w:ind w:firstLineChars="0"/>
        <w:rPr>
          <w:szCs w:val="21"/>
        </w:rPr>
      </w:pPr>
      <w:r>
        <w:rPr>
          <w:rFonts w:hint="eastAsia"/>
          <w:szCs w:val="21"/>
        </w:rPr>
        <w:t>《中华人民共和国环境保护法》</w:t>
      </w:r>
    </w:p>
    <w:p w14:paraId="73E916BB">
      <w:pPr>
        <w:pStyle w:val="39"/>
        <w:numPr>
          <w:ilvl w:val="0"/>
          <w:numId w:val="7"/>
        </w:numPr>
        <w:spacing w:line="360" w:lineRule="auto"/>
        <w:ind w:firstLineChars="0"/>
        <w:rPr>
          <w:szCs w:val="21"/>
        </w:rPr>
      </w:pPr>
      <w:r>
        <w:rPr>
          <w:rFonts w:hint="eastAsia"/>
          <w:szCs w:val="21"/>
        </w:rPr>
        <w:t>《废弃电器电子产品回收处理管理条例》</w:t>
      </w:r>
    </w:p>
    <w:p w14:paraId="0B66A83A">
      <w:pPr>
        <w:pStyle w:val="39"/>
        <w:numPr>
          <w:ilvl w:val="0"/>
          <w:numId w:val="7"/>
        </w:numPr>
        <w:spacing w:line="360" w:lineRule="auto"/>
        <w:ind w:firstLineChars="0"/>
        <w:rPr>
          <w:szCs w:val="21"/>
        </w:rPr>
      </w:pPr>
      <w:r>
        <w:rPr>
          <w:rFonts w:hint="eastAsia"/>
          <w:szCs w:val="21"/>
        </w:rPr>
        <w:t>《中华人民共和国公司法》</w:t>
      </w:r>
    </w:p>
    <w:p w14:paraId="38989238">
      <w:pPr>
        <w:pStyle w:val="39"/>
        <w:numPr>
          <w:ilvl w:val="0"/>
          <w:numId w:val="7"/>
        </w:numPr>
        <w:spacing w:line="360" w:lineRule="auto"/>
        <w:ind w:firstLineChars="0"/>
      </w:pPr>
      <w:r>
        <w:rPr>
          <w:rFonts w:hint="eastAsia"/>
          <w:szCs w:val="21"/>
        </w:rPr>
        <w:t>《企业内部控制基本规范》</w:t>
      </w:r>
    </w:p>
    <w:p w14:paraId="5B5C8B19">
      <w:pPr>
        <w:pStyle w:val="39"/>
        <w:numPr>
          <w:ilvl w:val="0"/>
          <w:numId w:val="7"/>
        </w:numPr>
        <w:spacing w:line="360" w:lineRule="auto"/>
        <w:ind w:firstLineChars="0"/>
      </w:pPr>
      <w:r>
        <w:rPr>
          <w:rFonts w:hint="eastAsia" w:hAnsi="宋体"/>
        </w:rPr>
        <w:t>《中华人民共和国标准化法》</w:t>
      </w:r>
    </w:p>
    <w:p w14:paraId="1D0C527E">
      <w:pPr>
        <w:pStyle w:val="39"/>
        <w:numPr>
          <w:ilvl w:val="0"/>
          <w:numId w:val="7"/>
        </w:numPr>
        <w:spacing w:line="360" w:lineRule="auto"/>
        <w:ind w:firstLineChars="0"/>
      </w:pPr>
      <w:r>
        <w:rPr>
          <w:rFonts w:hint="eastAsia" w:hAnsi="宋体"/>
        </w:rPr>
        <w:t>《中华人民共和国计量法》</w:t>
      </w:r>
    </w:p>
    <w:p w14:paraId="3957C06D">
      <w:pPr>
        <w:pStyle w:val="39"/>
        <w:spacing w:line="360" w:lineRule="auto"/>
        <w:ind w:left="846" w:firstLine="0" w:firstLineChars="0"/>
      </w:pPr>
    </w:p>
    <w:p w14:paraId="602D152E">
      <w:pPr>
        <w:widowControl/>
        <w:spacing w:line="400" w:lineRule="exact"/>
        <w:ind w:firstLine="420" w:firstLineChars="200"/>
        <w:jc w:val="left"/>
        <w:rPr>
          <w:rFonts w:ascii="宋体" w:hAnsi="宋体"/>
          <w:sz w:val="21"/>
          <w:szCs w:val="21"/>
        </w:rPr>
      </w:pPr>
    </w:p>
    <w:p w14:paraId="38272C15">
      <w:pPr>
        <w:widowControl/>
        <w:spacing w:line="400" w:lineRule="exact"/>
        <w:ind w:firstLine="420" w:firstLineChars="200"/>
        <w:jc w:val="left"/>
        <w:rPr>
          <w:rFonts w:ascii="宋体" w:hAnsi="宋体"/>
          <w:sz w:val="21"/>
          <w:szCs w:val="21"/>
        </w:rPr>
      </w:pPr>
    </w:p>
    <w:p w14:paraId="4FD2667B">
      <w:pPr>
        <w:widowControl/>
        <w:spacing w:line="400" w:lineRule="exact"/>
        <w:ind w:firstLine="420" w:firstLineChars="200"/>
        <w:jc w:val="left"/>
        <w:rPr>
          <w:rFonts w:ascii="宋体" w:hAnsi="宋体"/>
          <w:sz w:val="21"/>
          <w:szCs w:val="21"/>
        </w:rPr>
      </w:pPr>
    </w:p>
    <w:p w14:paraId="67DC4E7A">
      <w:pPr>
        <w:widowControl/>
        <w:spacing w:line="400" w:lineRule="exact"/>
        <w:ind w:firstLine="420" w:firstLineChars="200"/>
        <w:jc w:val="left"/>
        <w:rPr>
          <w:rFonts w:ascii="宋体" w:hAnsi="宋体"/>
          <w:sz w:val="21"/>
          <w:szCs w:val="21"/>
        </w:rPr>
      </w:pPr>
    </w:p>
    <w:p w14:paraId="2D669A9A">
      <w:pPr>
        <w:widowControl/>
        <w:spacing w:line="400" w:lineRule="exact"/>
        <w:ind w:firstLine="420" w:firstLineChars="200"/>
        <w:jc w:val="left"/>
        <w:rPr>
          <w:rFonts w:ascii="宋体" w:hAnsi="宋体"/>
          <w:sz w:val="21"/>
          <w:szCs w:val="21"/>
        </w:rPr>
      </w:pPr>
    </w:p>
    <w:p w14:paraId="1910E567">
      <w:pPr>
        <w:widowControl/>
        <w:spacing w:line="400" w:lineRule="exact"/>
        <w:ind w:firstLine="420" w:firstLineChars="200"/>
        <w:jc w:val="left"/>
        <w:rPr>
          <w:rFonts w:ascii="宋体" w:hAnsi="宋体"/>
          <w:sz w:val="21"/>
          <w:szCs w:val="21"/>
        </w:rPr>
      </w:pPr>
    </w:p>
    <w:p w14:paraId="2BE14B4C">
      <w:pPr>
        <w:widowControl/>
        <w:spacing w:line="400" w:lineRule="exact"/>
        <w:ind w:firstLine="420" w:firstLineChars="200"/>
        <w:jc w:val="left"/>
        <w:rPr>
          <w:rFonts w:ascii="宋体" w:hAnsi="宋体"/>
          <w:sz w:val="21"/>
          <w:szCs w:val="21"/>
        </w:rPr>
      </w:pPr>
    </w:p>
    <w:p w14:paraId="0855EAC9">
      <w:pPr>
        <w:widowControl/>
        <w:spacing w:line="400" w:lineRule="exact"/>
        <w:ind w:firstLine="420" w:firstLineChars="200"/>
        <w:jc w:val="left"/>
        <w:rPr>
          <w:rFonts w:ascii="宋体" w:hAnsi="宋体"/>
          <w:sz w:val="21"/>
          <w:szCs w:val="21"/>
        </w:rPr>
      </w:pPr>
    </w:p>
    <w:p w14:paraId="4B9370AA">
      <w:pPr>
        <w:widowControl/>
        <w:spacing w:line="400" w:lineRule="exact"/>
        <w:ind w:firstLine="420" w:firstLineChars="200"/>
        <w:jc w:val="left"/>
        <w:rPr>
          <w:rFonts w:ascii="宋体" w:hAnsi="宋体"/>
          <w:sz w:val="21"/>
          <w:szCs w:val="21"/>
        </w:rPr>
      </w:pPr>
    </w:p>
    <w:p w14:paraId="5FFA9AAF">
      <w:pPr>
        <w:widowControl/>
        <w:spacing w:line="400" w:lineRule="exact"/>
        <w:ind w:firstLine="420" w:firstLineChars="200"/>
        <w:jc w:val="left"/>
        <w:rPr>
          <w:rFonts w:ascii="宋体" w:hAnsi="宋体"/>
          <w:sz w:val="21"/>
          <w:szCs w:val="21"/>
        </w:rPr>
      </w:pPr>
    </w:p>
    <w:p w14:paraId="56E0DDD7">
      <w:pPr>
        <w:widowControl/>
        <w:spacing w:line="400" w:lineRule="exact"/>
        <w:ind w:firstLine="420" w:firstLineChars="200"/>
        <w:jc w:val="left"/>
        <w:rPr>
          <w:rFonts w:ascii="宋体" w:hAnsi="宋体"/>
          <w:sz w:val="21"/>
          <w:szCs w:val="21"/>
        </w:rPr>
        <w:sectPr>
          <w:footerReference r:id="rId8" w:type="even"/>
          <w:pgSz w:w="11906" w:h="16838"/>
          <w:pgMar w:top="1418" w:right="1418" w:bottom="1418" w:left="1701" w:header="851" w:footer="992" w:gutter="0"/>
          <w:cols w:space="720" w:num="1"/>
          <w:docGrid w:linePitch="312" w:charSpace="0"/>
        </w:sectPr>
      </w:pPr>
    </w:p>
    <w:p w14:paraId="22A8C4BE">
      <w:pPr>
        <w:keepNext/>
        <w:keepLines/>
        <w:spacing w:before="120" w:beforeLines="50" w:after="120" w:afterLines="50"/>
        <w:jc w:val="left"/>
        <w:outlineLvl w:val="0"/>
        <w:rPr>
          <w:rFonts w:ascii="宋体" w:hAnsi="宋体" w:cs="宋体"/>
          <w:szCs w:val="28"/>
        </w:rPr>
      </w:pPr>
      <w:bookmarkStart w:id="173" w:name="_Toc521509476"/>
      <w:r>
        <w:rPr>
          <w:rFonts w:hint="eastAsia" w:ascii="宋体" w:hAnsi="宋体" w:cs="宋体"/>
          <w:szCs w:val="28"/>
        </w:rPr>
        <w:t xml:space="preserve">附录B        </w:t>
      </w:r>
    </w:p>
    <w:p w14:paraId="3BDD8F01">
      <w:pPr>
        <w:keepNext/>
        <w:keepLines/>
        <w:spacing w:before="120" w:beforeLines="50" w:after="120" w:afterLines="50"/>
        <w:jc w:val="center"/>
        <w:outlineLvl w:val="0"/>
        <w:rPr>
          <w:rFonts w:ascii="宋体" w:hAnsi="宋体"/>
          <w:b/>
          <w:bCs/>
          <w:sz w:val="36"/>
          <w:szCs w:val="36"/>
        </w:rPr>
      </w:pPr>
      <w:r>
        <w:rPr>
          <w:rFonts w:hint="eastAsia" w:ascii="宋体" w:hAnsi="宋体"/>
          <w:b/>
          <w:bCs/>
          <w:sz w:val="36"/>
          <w:szCs w:val="36"/>
          <w:lang w:eastAsia="zh-CN"/>
        </w:rPr>
        <w:t>{companyName}</w:t>
      </w:r>
      <w:r>
        <w:rPr>
          <w:rFonts w:hint="eastAsia" w:ascii="宋体" w:hAnsi="宋体"/>
          <w:b/>
          <w:bCs/>
          <w:sz w:val="36"/>
          <w:szCs w:val="36"/>
        </w:rPr>
        <w:t>组织机构图</w:t>
      </w:r>
    </w:p>
    <w:p w14:paraId="0700014F">
      <w:pPr>
        <w:spacing w:line="400" w:lineRule="exact"/>
        <w:jc w:val="center"/>
        <w:rPr>
          <w:rFonts w:hint="eastAsia" w:ascii="宋体" w:hAnsi="宋体"/>
        </w:rPr>
      </w:pPr>
    </w:p>
    <w:p w14:paraId="3AD9EC8A">
      <w:pPr>
        <w:spacing w:line="400" w:lineRule="exact"/>
        <w:jc w:val="center"/>
        <w:rPr>
          <w:rFonts w:hint="eastAsia" w:ascii="宋体" w:hAnsi="宋体"/>
        </w:rPr>
      </w:pPr>
    </w:p>
    <w:p w14:paraId="42365B4B">
      <w:pPr>
        <w:spacing w:line="400" w:lineRule="exact"/>
        <w:jc w:val="center"/>
      </w:pPr>
      <w:r>
        <w:rPr>
          <w:rFonts w:hint="eastAsia" w:ascii="宋体" w:hAnsi="宋体"/>
        </w:rPr>
        <w:t>{</w:t>
      </w:r>
      <w:r>
        <w:rPr>
          <w:rFonts w:hint="eastAsia" w:ascii="宋体" w:hAnsi="宋体"/>
          <w:lang w:val="en-US" w:eastAsia="zh-CN"/>
        </w:rPr>
        <w:t>%%</w:t>
      </w:r>
      <w:r>
        <w:rPr>
          <w:rFonts w:hint="eastAsia" w:ascii="宋体" w:hAnsi="宋体"/>
        </w:rPr>
        <w:t>orgChart}</w:t>
      </w:r>
    </w:p>
    <w:p w14:paraId="703909AF">
      <w:pPr>
        <w:spacing w:line="400" w:lineRule="exact"/>
        <w:ind w:firstLine="560" w:firstLineChars="200"/>
        <w:rPr>
          <w:rFonts w:ascii="宋体" w:hAnsi="宋体"/>
        </w:rPr>
      </w:pPr>
    </w:p>
    <w:p w14:paraId="743B2143">
      <w:pPr>
        <w:spacing w:line="400" w:lineRule="exact"/>
        <w:ind w:firstLine="560" w:firstLineChars="200"/>
        <w:rPr>
          <w:rFonts w:ascii="宋体" w:hAnsi="宋体"/>
        </w:rPr>
      </w:pPr>
    </w:p>
    <w:p w14:paraId="42040338">
      <w:pPr>
        <w:spacing w:line="400" w:lineRule="exact"/>
        <w:ind w:firstLine="560" w:firstLineChars="200"/>
        <w:rPr>
          <w:rFonts w:ascii="宋体" w:hAnsi="宋体"/>
        </w:rPr>
      </w:pPr>
    </w:p>
    <w:bookmarkEnd w:id="173"/>
    <w:p w14:paraId="180AC8F7">
      <w:pPr>
        <w:pStyle w:val="2"/>
        <w:spacing w:line="400" w:lineRule="exact"/>
        <w:rPr>
          <w:sz w:val="20"/>
        </w:rPr>
        <w:sectPr>
          <w:pgSz w:w="11906" w:h="16838"/>
          <w:pgMar w:top="1418" w:right="1418" w:bottom="1418" w:left="1701" w:header="851" w:footer="992" w:gutter="0"/>
          <w:cols w:space="720" w:num="1"/>
          <w:docGrid w:linePitch="312" w:charSpace="0"/>
        </w:sectPr>
      </w:pPr>
    </w:p>
    <w:p w14:paraId="175C3161">
      <w:pPr>
        <w:pStyle w:val="2"/>
        <w:spacing w:before="0" w:line="360" w:lineRule="exact"/>
        <w:rPr>
          <w:rFonts w:hint="eastAsia" w:ascii="宋体" w:hAnsi="宋体" w:cs="宋体"/>
          <w:bCs w:val="0"/>
          <w:snapToGrid w:val="0"/>
          <w:color w:val="000000"/>
          <w:sz w:val="28"/>
          <w:szCs w:val="28"/>
        </w:rPr>
      </w:pPr>
      <w:bookmarkStart w:id="174" w:name="_Toc509845161"/>
      <w:bookmarkStart w:id="175" w:name="_Toc509844139"/>
      <w:bookmarkStart w:id="176" w:name="_Toc509844829"/>
      <w:bookmarkStart w:id="177" w:name="_Toc521509477"/>
      <w:r>
        <w:rPr>
          <w:rFonts w:hint="eastAsia" w:ascii="宋体" w:hAnsi="宋体" w:cs="宋体"/>
          <w:sz w:val="28"/>
          <w:szCs w:val="28"/>
        </w:rPr>
        <w:t xml:space="preserve">附录C     </w:t>
      </w:r>
      <w:r>
        <w:rPr>
          <w:rFonts w:hint="eastAsia" w:ascii="宋体" w:hAnsi="宋体" w:cs="宋体"/>
          <w:sz w:val="28"/>
          <w:szCs w:val="28"/>
          <w:lang w:eastAsia="zh-CN"/>
        </w:rPr>
        <w:t>{companyName}</w:t>
      </w:r>
      <w:r>
        <w:rPr>
          <w:rFonts w:hint="eastAsia" w:ascii="宋体" w:hAnsi="宋体" w:cs="宋体"/>
          <w:sz w:val="28"/>
          <w:szCs w:val="28"/>
        </w:rPr>
        <w:t>质量</w:t>
      </w:r>
      <w:r>
        <w:rPr>
          <w:rFonts w:hint="eastAsia" w:ascii="宋体" w:hAnsi="宋体" w:cs="宋体"/>
          <w:bCs w:val="0"/>
          <w:snapToGrid w:val="0"/>
          <w:color w:val="000000"/>
          <w:sz w:val="28"/>
          <w:szCs w:val="28"/>
        </w:rPr>
        <w:t>管理体系职能分配表</w:t>
      </w:r>
      <w:bookmarkEnd w:id="174"/>
      <w:bookmarkEnd w:id="175"/>
      <w:bookmarkEnd w:id="176"/>
      <w:bookmarkEnd w:id="177"/>
    </w:p>
    <w:tbl>
      <w:tblPr>
        <w:tblStyle w:val="18"/>
        <w:tblW w:w="4926"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11140"/>
      </w:tblGrid>
      <w:tr w14:paraId="638F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1313"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w:tcPr>
          <w:p w14:paraId="68D9527E">
            <w:pPr>
              <w:tabs>
                <w:tab w:val="left" w:pos="2663"/>
              </w:tabs>
              <w:spacing w:line="400" w:lineRule="exact"/>
              <w:jc w:val="left"/>
              <w:rPr>
                <w:rFonts w:hint="default" w:ascii="宋体" w:hAnsi="宋体" w:cs="宋体"/>
                <w:b w:val="0"/>
                <w:color w:val="000000"/>
                <w:sz w:val="21"/>
                <w:szCs w:val="21"/>
                <w:vertAlign w:val="baseline"/>
                <w:lang w:val="en-US" w:eastAsia="zh-CN"/>
              </w:rPr>
            </w:pPr>
            <w:bookmarkStart w:id="178" w:name="_Toc521509479"/>
            <w:r>
              <w:rPr>
                <w:rFonts w:hint="eastAsia" w:ascii="宋体" w:hAnsi="宋体" w:cs="宋体"/>
                <w:b w:val="0"/>
                <w:color w:val="000000"/>
                <w:sz w:val="21"/>
                <w:szCs w:val="21"/>
                <w:vertAlign w:val="baseline"/>
                <w:lang w:val="en-US" w:eastAsia="zh-CN"/>
              </w:rPr>
              <w:tab/>
            </w:r>
            <w:r>
              <w:rPr>
                <w:rFonts w:hint="eastAsia" w:ascii="宋体" w:hAnsi="宋体" w:cs="宋体"/>
                <w:b w:val="0"/>
                <w:color w:val="000000"/>
                <w:sz w:val="21"/>
                <w:szCs w:val="21"/>
                <w:vertAlign w:val="baseline"/>
                <w:lang w:val="en-US" w:eastAsia="zh-CN"/>
              </w:rPr>
              <w:t>部门</w:t>
            </w:r>
          </w:p>
          <w:p w14:paraId="0D5129BD">
            <w:pPr>
              <w:tabs>
                <w:tab w:val="left" w:pos="751"/>
              </w:tabs>
              <w:bidi w:val="0"/>
              <w:jc w:val="left"/>
              <w:rPr>
                <w:rFonts w:hint="default" w:ascii="Times New Roman" w:hAnsi="Times New Roman" w:eastAsia="宋体" w:cs="Arial"/>
                <w:sz w:val="28"/>
                <w:lang w:val="en-US" w:eastAsia="zh-CN" w:bidi="ar-SA"/>
              </w:rPr>
            </w:pPr>
            <w:r>
              <w:rPr>
                <w:rFonts w:hint="eastAsia" w:ascii="Times New Roman" w:hAnsi="Times New Roman" w:cs="Arial"/>
                <w:sz w:val="28"/>
                <w:lang w:val="en-US" w:eastAsia="zh-CN" w:bidi="ar-SA"/>
              </w:rPr>
              <w:tab/>
            </w:r>
            <w:r>
              <w:rPr>
                <w:rFonts w:hint="eastAsia" w:ascii="Times New Roman" w:hAnsi="Times New Roman" w:cs="Arial"/>
                <w:sz w:val="21"/>
                <w:szCs w:val="21"/>
                <w:lang w:val="en-US" w:eastAsia="zh-CN" w:bidi="ar-SA"/>
              </w:rPr>
              <w:t>过程</w:t>
            </w:r>
          </w:p>
        </w:tc>
        <w:tc>
          <w:tcPr>
            <w:tcW w:w="3686" w:type="pct"/>
            <w:tcBorders>
              <w:top w:val="single" w:color="000000" w:sz="4" w:space="0"/>
              <w:left w:val="single" w:color="000000" w:sz="4" w:space="0"/>
              <w:bottom w:val="single" w:color="000000" w:sz="4" w:space="0"/>
              <w:right w:val="single" w:color="000000" w:sz="4" w:space="0"/>
            </w:tcBorders>
            <w:shd w:val="clear" w:color="auto" w:fill="FFFFFF"/>
            <w:textDirection w:val="tbLrV"/>
            <w:vAlign w:val="center"/>
          </w:tcPr>
          <w:p w14:paraId="12D1F78F">
            <w:pPr>
              <w:spacing w:line="240" w:lineRule="auto"/>
              <w:ind w:left="113" w:right="113"/>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{#allDeptNames}</w:t>
            </w:r>
          </w:p>
          <w:p w14:paraId="5C55D43A">
            <w:pPr>
              <w:spacing w:line="240" w:lineRule="auto"/>
              <w:ind w:left="113" w:right="113"/>
              <w:jc w:val="center"/>
              <w:rPr>
                <w:rFonts w:hint="eastAsia" w:ascii="宋体" w:hAnsi="宋体" w:cs="宋体"/>
                <w:b w:val="0"/>
                <w:color w:val="000000"/>
                <w:sz w:val="21"/>
                <w:szCs w:val="21"/>
                <w:vertAlign w:val="baseline"/>
                <w:lang w:val="en-US" w:eastAsia="zh-CN"/>
              </w:rPr>
            </w:pPr>
          </w:p>
          <w:p w14:paraId="18F5D647">
            <w:pPr>
              <w:spacing w:line="240" w:lineRule="auto"/>
              <w:ind w:left="113" w:right="113"/>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w:t>
            </w:r>
          </w:p>
          <w:p w14:paraId="4DC99C2A">
            <w:pPr>
              <w:spacing w:line="240" w:lineRule="auto"/>
              <w:ind w:left="113" w:right="113"/>
              <w:jc w:val="center"/>
              <w:rPr>
                <w:rFonts w:hint="eastAsia" w:ascii="宋体" w:hAnsi="宋体" w:cs="宋体"/>
                <w:b w:val="0"/>
                <w:color w:val="000000"/>
                <w:sz w:val="21"/>
                <w:szCs w:val="21"/>
                <w:vertAlign w:val="baseline"/>
                <w:lang w:val="en-US" w:eastAsia="zh-CN"/>
              </w:rPr>
            </w:pPr>
          </w:p>
          <w:p w14:paraId="542E53C5">
            <w:pPr>
              <w:spacing w:line="240" w:lineRule="auto"/>
              <w:ind w:left="113" w:right="113"/>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1"/>
                <w:szCs w:val="21"/>
                <w:vertAlign w:val="baseline"/>
                <w:lang w:val="en-US" w:eastAsia="zh-CN"/>
              </w:rPr>
              <w:t>{/allDeptNames}</w:t>
            </w:r>
          </w:p>
        </w:tc>
      </w:tr>
      <w:tr w14:paraId="1C3A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C2BF0">
            <w:pPr>
              <w:spacing w:line="240" w:lineRule="auto"/>
              <w:jc w:val="both"/>
              <w:rPr>
                <w:rFonts w:hint="default" w:ascii="宋体" w:hAnsi="宋体" w:cs="宋体"/>
                <w:b w:val="0"/>
                <w:color w:val="000000"/>
                <w:sz w:val="21"/>
                <w:szCs w:val="21"/>
                <w:vertAlign w:val="baseline"/>
                <w:lang w:val="en-US" w:eastAsia="zh-CN"/>
              </w:rPr>
            </w:pPr>
            <w:r>
              <w:rPr>
                <w:rFonts w:hint="default" w:ascii="宋体" w:hAnsi="宋体" w:cs="宋体"/>
                <w:b w:val="0"/>
                <w:color w:val="000000"/>
                <w:sz w:val="21"/>
                <w:szCs w:val="21"/>
                <w:vertAlign w:val="baseline"/>
                <w:lang w:val="en-US" w:eastAsia="zh-CN"/>
              </w:rPr>
              <w:t>{#clauses}{clauseNum}</w:t>
            </w:r>
            <w:r>
              <w:rPr>
                <w:rFonts w:hint="eastAsia" w:ascii="宋体" w:hAnsi="宋体" w:cs="宋体"/>
                <w:b w:val="0"/>
                <w:color w:val="000000"/>
                <w:sz w:val="21"/>
                <w:szCs w:val="21"/>
                <w:vertAlign w:val="baseline"/>
                <w:lang w:val="en-US" w:eastAsia="zh-CN"/>
              </w:rPr>
              <w:t xml:space="preserve"> </w:t>
            </w:r>
            <w:r>
              <w:rPr>
                <w:rFonts w:hint="default" w:ascii="宋体" w:hAnsi="宋体" w:cs="宋体"/>
                <w:b w:val="0"/>
                <w:color w:val="000000"/>
                <w:sz w:val="21"/>
                <w:szCs w:val="21"/>
                <w:vertAlign w:val="baseline"/>
                <w:lang w:val="en-US" w:eastAsia="zh-CN"/>
              </w:rPr>
              <w:t>{content}</w:t>
            </w:r>
          </w:p>
        </w:tc>
        <w:tc>
          <w:tcPr>
            <w:tcW w:w="3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0D3BC">
            <w:pPr>
              <w:spacing w:line="400" w:lineRule="exact"/>
              <w:jc w:val="center"/>
              <w:rPr>
                <w:rFonts w:hint="eastAsia" w:ascii="宋体" w:hAnsi="宋体" w:cs="宋体"/>
                <w:b w:val="0"/>
                <w:color w:val="000000"/>
                <w:sz w:val="21"/>
                <w:szCs w:val="21"/>
                <w:vertAlign w:val="baseline"/>
                <w:lang w:val="en-US" w:eastAsia="zh-CN"/>
              </w:rPr>
            </w:pPr>
            <w:r>
              <w:rPr>
                <w:rFonts w:hint="eastAsia" w:ascii="宋体" w:hAnsi="宋体" w:cs="宋体"/>
                <w:b w:val="0"/>
                <w:color w:val="000000"/>
                <w:sz w:val="24"/>
                <w:szCs w:val="24"/>
                <w:vertAlign w:val="baseline"/>
                <w:lang w:val="en-US" w:eastAsia="zh-CN"/>
              </w:rPr>
              <w:t>{#deptValues}   {.}   {/deptValues}</w:t>
            </w:r>
            <w:r>
              <w:rPr>
                <w:rFonts w:hint="default" w:ascii="宋体" w:hAnsi="宋体" w:cs="宋体"/>
                <w:b w:val="0"/>
                <w:color w:val="000000"/>
                <w:sz w:val="24"/>
                <w:szCs w:val="24"/>
                <w:vertAlign w:val="baseline"/>
                <w:lang w:val="en-US" w:eastAsia="zh-CN"/>
              </w:rPr>
              <w:t>{/clauses}</w:t>
            </w:r>
          </w:p>
        </w:tc>
      </w:tr>
    </w:tbl>
    <w:p w14:paraId="3DBC18F8">
      <w:pPr>
        <w:spacing w:line="400" w:lineRule="exact"/>
        <w:ind w:firstLine="686" w:firstLineChars="245"/>
        <w:jc w:val="center"/>
        <w:rPr>
          <w:rFonts w:hint="eastAsia" w:ascii="宋体" w:hAnsi="宋体" w:cs="宋体"/>
          <w:color w:val="FF0000"/>
          <w:sz w:val="28"/>
          <w:szCs w:val="28"/>
          <w:lang w:val="en-US" w:eastAsia="zh-CN"/>
        </w:rPr>
      </w:pPr>
      <w:r>
        <w:rPr>
          <w:rFonts w:hint="eastAsia" w:ascii="宋体" w:hAnsi="宋体" w:cs="宋体"/>
          <w:color w:val="FF0000"/>
          <w:sz w:val="28"/>
          <w:szCs w:val="28"/>
          <w:lang w:val="en-US" w:eastAsia="zh-CN"/>
        </w:rPr>
        <w:br w:type="page"/>
      </w:r>
    </w:p>
    <w:p w14:paraId="64E567B2">
      <w:pPr>
        <w:pStyle w:val="2"/>
        <w:spacing w:line="400" w:lineRule="exact"/>
        <w:ind w:firstLine="0" w:firstLineChars="0"/>
        <w:jc w:val="both"/>
        <w:rPr>
          <w:rFonts w:ascii="宋体" w:hAnsi="宋体" w:cs="宋体"/>
          <w:color w:val="FF0000"/>
          <w:sz w:val="28"/>
          <w:szCs w:val="28"/>
        </w:rPr>
      </w:pPr>
      <w:r>
        <w:rPr>
          <w:rFonts w:hint="eastAsia" w:ascii="宋体" w:hAnsi="宋体" w:cs="宋体"/>
          <w:color w:val="FF0000"/>
          <w:sz w:val="28"/>
          <w:szCs w:val="28"/>
          <w:lang w:val="en-US" w:eastAsia="zh-CN"/>
        </w:rPr>
        <w:t>附</w:t>
      </w:r>
      <w:r>
        <w:rPr>
          <w:rFonts w:hint="eastAsia" w:ascii="宋体" w:hAnsi="宋体" w:cs="宋体"/>
          <w:color w:val="FF0000"/>
          <w:sz w:val="28"/>
          <w:szCs w:val="28"/>
        </w:rPr>
        <w:t>录D  产品</w:t>
      </w:r>
      <w:r>
        <w:rPr>
          <w:rFonts w:ascii="宋体" w:hAnsi="宋体" w:cs="宋体"/>
          <w:color w:val="FF0000"/>
          <w:sz w:val="28"/>
          <w:szCs w:val="28"/>
        </w:rPr>
        <w:t>和服务实现</w:t>
      </w:r>
      <w:r>
        <w:rPr>
          <w:rFonts w:hint="eastAsia" w:ascii="宋体" w:hAnsi="宋体" w:cs="宋体"/>
          <w:color w:val="FF0000"/>
          <w:sz w:val="28"/>
          <w:szCs w:val="28"/>
        </w:rPr>
        <w:t>过程图</w:t>
      </w:r>
    </w:p>
    <w:p w14:paraId="39D68DEC">
      <w:pPr>
        <w:widowControl/>
        <w:jc w:val="center"/>
        <w:rPr>
          <w:rFonts w:ascii="宋体" w:hAnsi="宋体" w:cs="宋体"/>
          <w:b/>
          <w:bCs/>
          <w:kern w:val="44"/>
          <w:szCs w:val="28"/>
        </w:rPr>
        <w:sectPr>
          <w:pgSz w:w="16838" w:h="11906" w:orient="landscape"/>
          <w:pgMar w:top="1797" w:right="1247" w:bottom="1797" w:left="471" w:header="851" w:footer="992" w:gutter="0"/>
          <w:cols w:space="720" w:num="1"/>
          <w:docGrid w:type="linesAndChars" w:linePitch="312" w:charSpace="0"/>
        </w:sectPr>
      </w:pPr>
      <w:r>
        <w:object>
          <v:shape id="_x0000_i1025" o:spt="75" type="#_x0000_t75" style="height:367.5pt;width:577.15pt;" o:ole="t" filled="f" o:preferrelative="t" stroked="f" coordsize="21600,21600">
            <v:path/>
            <v:fill on="f" focussize="0,0"/>
            <v:stroke on="f"/>
            <v:imagedata r:id="rId12" cropbottom="1650f" o:title=""/>
            <o:lock v:ext="edit" aspectratio="t"/>
            <w10:wrap type="none"/>
            <w10:anchorlock/>
          </v:shape>
          <o:OLEObject Type="Embed" ProgID="Visio.Drawing.11" ShapeID="_x0000_i1025" DrawAspect="Content" ObjectID="_1468075725" r:id="rId11">
            <o:LockedField>false</o:LockedField>
          </o:OLEObject>
        </w:object>
      </w:r>
    </w:p>
    <w:p w14:paraId="70C0FA29">
      <w:pPr>
        <w:pStyle w:val="2"/>
        <w:spacing w:line="400" w:lineRule="exact"/>
        <w:rPr>
          <w:rFonts w:hint="eastAsia" w:ascii="宋体" w:hAnsi="宋体" w:cs="宋体"/>
          <w:sz w:val="28"/>
          <w:szCs w:val="28"/>
        </w:rPr>
      </w:pPr>
      <w:r>
        <w:rPr>
          <w:rFonts w:hint="eastAsia" w:ascii="宋体" w:hAnsi="宋体" w:cs="宋体"/>
          <w:sz w:val="28"/>
          <w:szCs w:val="28"/>
        </w:rPr>
        <w:t>附录E  程序文件目录</w:t>
      </w:r>
      <w:bookmarkEnd w:id="178"/>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5639"/>
      </w:tblGrid>
      <w:tr w14:paraId="1FE1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8" w:type="dxa"/>
            <w:vAlign w:val="center"/>
          </w:tcPr>
          <w:p w14:paraId="4AB5B1E2">
            <w:pPr>
              <w:jc w:val="center"/>
              <w:rPr>
                <w:rFonts w:ascii="宋体" w:hAnsi="宋体" w:cs="Times New Roman"/>
                <w:kern w:val="2"/>
                <w:sz w:val="21"/>
                <w:szCs w:val="21"/>
              </w:rPr>
            </w:pPr>
            <w:r>
              <w:rPr>
                <w:rFonts w:hint="eastAsia" w:ascii="宋体" w:hAnsi="宋体" w:cs="Times New Roman"/>
                <w:kern w:val="2"/>
                <w:sz w:val="21"/>
                <w:szCs w:val="21"/>
              </w:rPr>
              <w:t>序号</w:t>
            </w:r>
          </w:p>
        </w:tc>
        <w:tc>
          <w:tcPr>
            <w:tcW w:w="5639" w:type="dxa"/>
            <w:vAlign w:val="center"/>
          </w:tcPr>
          <w:p w14:paraId="2DF3EF43">
            <w:pPr>
              <w:jc w:val="center"/>
              <w:rPr>
                <w:rFonts w:ascii="宋体" w:hAnsi="宋体" w:cs="Times New Roman"/>
                <w:kern w:val="2"/>
                <w:sz w:val="21"/>
                <w:szCs w:val="21"/>
              </w:rPr>
            </w:pPr>
            <w:r>
              <w:rPr>
                <w:rFonts w:hint="eastAsia" w:ascii="宋体" w:hAnsi="宋体" w:cs="Times New Roman"/>
                <w:kern w:val="2"/>
                <w:sz w:val="21"/>
                <w:szCs w:val="21"/>
              </w:rPr>
              <w:t>程序文件名称</w:t>
            </w:r>
          </w:p>
        </w:tc>
      </w:tr>
      <w:tr w14:paraId="62D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08" w:type="dxa"/>
            <w:vAlign w:val="center"/>
          </w:tcPr>
          <w:p w14:paraId="70AC701C">
            <w:pPr>
              <w:widowControl/>
              <w:jc w:val="center"/>
              <w:textAlignment w:val="center"/>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{#temps}{index}</w:t>
            </w:r>
          </w:p>
        </w:tc>
        <w:tc>
          <w:tcPr>
            <w:tcW w:w="5639" w:type="dxa"/>
            <w:vAlign w:val="center"/>
          </w:tcPr>
          <w:p w14:paraId="33E6B260">
            <w:pPr>
              <w:jc w:val="left"/>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{templateName}{/temps}</w:t>
            </w:r>
          </w:p>
        </w:tc>
      </w:tr>
    </w:tbl>
    <w:p w14:paraId="3F31E283">
      <w:pPr>
        <w:rPr>
          <w:rFonts w:ascii="Calibri" w:hAnsi="Calibri"/>
        </w:rPr>
      </w:pPr>
    </w:p>
    <w:p w14:paraId="45B8CA93">
      <w:pPr>
        <w:spacing w:line="360" w:lineRule="auto"/>
        <w:rPr>
          <w:rFonts w:cs="Times New Roman"/>
          <w:kern w:val="2"/>
          <w:sz w:val="24"/>
          <w:szCs w:val="24"/>
        </w:rPr>
        <w:sectPr>
          <w:pgSz w:w="11906" w:h="16838"/>
          <w:pgMar w:top="1247" w:right="1797" w:bottom="471" w:left="1797" w:header="851" w:footer="992" w:gutter="0"/>
          <w:cols w:space="720" w:num="1"/>
          <w:docGrid w:type="lines" w:linePitch="312" w:charSpace="0"/>
        </w:sectPr>
      </w:pPr>
    </w:p>
    <w:p w14:paraId="0300C72C">
      <w:pPr>
        <w:pStyle w:val="2"/>
        <w:spacing w:line="400" w:lineRule="exact"/>
      </w:pPr>
      <w:bookmarkStart w:id="179" w:name="_Toc521509481"/>
      <w:r>
        <w:rPr>
          <w:rFonts w:hint="eastAsia" w:ascii="宋体" w:hAnsi="宋体" w:cs="宋体"/>
          <w:sz w:val="28"/>
          <w:szCs w:val="28"/>
        </w:rPr>
        <w:t xml:space="preserve">附录F </w:t>
      </w:r>
      <w:r>
        <w:rPr>
          <w:rFonts w:hint="eastAsia" w:ascii="宋体" w:hAnsi="宋体" w:cs="宋体"/>
          <w:sz w:val="28"/>
          <w:szCs w:val="28"/>
          <w:lang w:val="en-US" w:eastAsia="zh-CN"/>
        </w:rPr>
        <w:t xml:space="preserve"> </w:t>
      </w:r>
      <w:r>
        <w:rPr>
          <w:rFonts w:hint="eastAsia" w:ascii="宋体" w:hAnsi="宋体" w:cs="宋体"/>
          <w:sz w:val="28"/>
          <w:szCs w:val="28"/>
        </w:rPr>
        <w:t>过程识别一览表</w:t>
      </w:r>
      <w:bookmarkEnd w:id="179"/>
    </w:p>
    <w:tbl>
      <w:tblPr>
        <w:tblStyle w:val="17"/>
        <w:tblW w:w="14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06"/>
        <w:gridCol w:w="738"/>
        <w:gridCol w:w="3231"/>
        <w:gridCol w:w="2977"/>
        <w:gridCol w:w="1455"/>
        <w:gridCol w:w="954"/>
        <w:gridCol w:w="992"/>
        <w:gridCol w:w="1370"/>
        <w:gridCol w:w="1323"/>
      </w:tblGrid>
      <w:tr w14:paraId="6241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restart"/>
            <w:vAlign w:val="center"/>
          </w:tcPr>
          <w:p w14:paraId="7FB8E3DB">
            <w:pPr>
              <w:widowControl/>
              <w:jc w:val="center"/>
              <w:rPr>
                <w:rFonts w:ascii="宋体" w:hAnsi="宋体" w:cs="宋体"/>
                <w:color w:val="000000"/>
                <w:sz w:val="22"/>
                <w:szCs w:val="22"/>
              </w:rPr>
            </w:pPr>
            <w:r>
              <w:rPr>
                <w:rFonts w:hint="eastAsia" w:ascii="宋体" w:hAnsi="宋体" w:cs="宋体"/>
                <w:color w:val="000000"/>
                <w:sz w:val="22"/>
                <w:szCs w:val="22"/>
              </w:rPr>
              <w:t>过程</w:t>
            </w:r>
          </w:p>
          <w:p w14:paraId="39EAB942">
            <w:pPr>
              <w:widowControl/>
              <w:jc w:val="center"/>
              <w:rPr>
                <w:rFonts w:ascii="宋体" w:hAnsi="宋体" w:cs="宋体"/>
                <w:color w:val="000000"/>
                <w:sz w:val="22"/>
                <w:szCs w:val="22"/>
              </w:rPr>
            </w:pPr>
            <w:r>
              <w:rPr>
                <w:rFonts w:hint="eastAsia" w:ascii="宋体" w:hAnsi="宋体" w:cs="宋体"/>
                <w:color w:val="000000"/>
                <w:sz w:val="22"/>
                <w:szCs w:val="22"/>
              </w:rPr>
              <w:t>识别</w:t>
            </w:r>
          </w:p>
        </w:tc>
        <w:tc>
          <w:tcPr>
            <w:tcW w:w="1444" w:type="dxa"/>
            <w:gridSpan w:val="2"/>
            <w:vAlign w:val="center"/>
          </w:tcPr>
          <w:p w14:paraId="38F59418">
            <w:pPr>
              <w:widowControl/>
              <w:jc w:val="center"/>
              <w:rPr>
                <w:rFonts w:ascii="宋体" w:hAnsi="宋体" w:cs="宋体"/>
                <w:color w:val="000000"/>
                <w:sz w:val="22"/>
                <w:szCs w:val="22"/>
              </w:rPr>
            </w:pPr>
            <w:r>
              <w:rPr>
                <w:rFonts w:hint="eastAsia" w:ascii="宋体" w:hAnsi="宋体" w:cs="宋体"/>
                <w:color w:val="000000"/>
                <w:sz w:val="22"/>
                <w:szCs w:val="22"/>
              </w:rPr>
              <w:t>过程名称</w:t>
            </w:r>
          </w:p>
        </w:tc>
        <w:tc>
          <w:tcPr>
            <w:tcW w:w="3231" w:type="dxa"/>
            <w:vMerge w:val="restart"/>
            <w:vAlign w:val="center"/>
          </w:tcPr>
          <w:p w14:paraId="069274A8">
            <w:pPr>
              <w:widowControl/>
              <w:jc w:val="center"/>
              <w:rPr>
                <w:rFonts w:ascii="宋体" w:hAnsi="宋体" w:cs="宋体"/>
                <w:color w:val="000000"/>
                <w:sz w:val="22"/>
                <w:szCs w:val="22"/>
              </w:rPr>
            </w:pPr>
            <w:r>
              <w:rPr>
                <w:rFonts w:hint="eastAsia" w:ascii="宋体" w:hAnsi="宋体" w:cs="宋体"/>
                <w:color w:val="000000"/>
                <w:sz w:val="22"/>
                <w:szCs w:val="22"/>
              </w:rPr>
              <w:t>过程输入</w:t>
            </w:r>
          </w:p>
        </w:tc>
        <w:tc>
          <w:tcPr>
            <w:tcW w:w="2977" w:type="dxa"/>
            <w:vMerge w:val="restart"/>
            <w:vAlign w:val="center"/>
          </w:tcPr>
          <w:p w14:paraId="7B0DB010">
            <w:pPr>
              <w:widowControl/>
              <w:jc w:val="center"/>
              <w:rPr>
                <w:rFonts w:ascii="宋体" w:hAnsi="宋体" w:cs="宋体"/>
                <w:color w:val="000000"/>
                <w:sz w:val="22"/>
                <w:szCs w:val="22"/>
              </w:rPr>
            </w:pPr>
            <w:r>
              <w:rPr>
                <w:rFonts w:hint="eastAsia" w:ascii="宋体" w:hAnsi="宋体" w:cs="宋体"/>
                <w:color w:val="000000"/>
                <w:sz w:val="22"/>
                <w:szCs w:val="22"/>
              </w:rPr>
              <w:t>过程输出</w:t>
            </w:r>
          </w:p>
        </w:tc>
        <w:tc>
          <w:tcPr>
            <w:tcW w:w="1455" w:type="dxa"/>
            <w:vMerge w:val="restart"/>
            <w:vAlign w:val="center"/>
          </w:tcPr>
          <w:p w14:paraId="2CE224B8">
            <w:pPr>
              <w:widowControl/>
              <w:jc w:val="center"/>
              <w:rPr>
                <w:rFonts w:ascii="宋体" w:hAnsi="宋体" w:cs="宋体"/>
                <w:color w:val="000000"/>
                <w:sz w:val="22"/>
                <w:szCs w:val="22"/>
              </w:rPr>
            </w:pPr>
            <w:r>
              <w:rPr>
                <w:rFonts w:hint="eastAsia" w:ascii="宋体" w:hAnsi="宋体" w:cs="宋体"/>
                <w:color w:val="000000"/>
                <w:sz w:val="22"/>
                <w:szCs w:val="22"/>
              </w:rPr>
              <w:t>过程资源</w:t>
            </w:r>
          </w:p>
        </w:tc>
        <w:tc>
          <w:tcPr>
            <w:tcW w:w="954" w:type="dxa"/>
            <w:vMerge w:val="restart"/>
            <w:vAlign w:val="center"/>
          </w:tcPr>
          <w:p w14:paraId="5F9DB94C">
            <w:pPr>
              <w:widowControl/>
              <w:jc w:val="center"/>
              <w:rPr>
                <w:rFonts w:ascii="宋体" w:hAnsi="宋体" w:cs="宋体"/>
                <w:color w:val="000000"/>
                <w:sz w:val="22"/>
                <w:szCs w:val="22"/>
              </w:rPr>
            </w:pPr>
            <w:r>
              <w:rPr>
                <w:rFonts w:hint="eastAsia" w:ascii="宋体" w:hAnsi="宋体" w:cs="宋体"/>
                <w:color w:val="000000"/>
                <w:sz w:val="22"/>
                <w:szCs w:val="22"/>
              </w:rPr>
              <w:t>主责</w:t>
            </w:r>
          </w:p>
          <w:p w14:paraId="40A8E8B4">
            <w:pPr>
              <w:widowControl/>
              <w:jc w:val="center"/>
              <w:rPr>
                <w:rFonts w:ascii="宋体" w:hAnsi="宋体" w:cs="宋体"/>
                <w:color w:val="000000"/>
                <w:sz w:val="22"/>
                <w:szCs w:val="22"/>
              </w:rPr>
            </w:pPr>
            <w:r>
              <w:rPr>
                <w:rFonts w:hint="eastAsia" w:ascii="宋体" w:hAnsi="宋体" w:cs="宋体"/>
                <w:color w:val="000000"/>
                <w:sz w:val="22"/>
                <w:szCs w:val="22"/>
              </w:rPr>
              <w:t>部门</w:t>
            </w:r>
          </w:p>
        </w:tc>
        <w:tc>
          <w:tcPr>
            <w:tcW w:w="992" w:type="dxa"/>
            <w:vMerge w:val="restart"/>
            <w:vAlign w:val="center"/>
          </w:tcPr>
          <w:p w14:paraId="7BC7C842">
            <w:pPr>
              <w:widowControl/>
              <w:jc w:val="center"/>
              <w:rPr>
                <w:rFonts w:ascii="宋体" w:hAnsi="宋体" w:cs="宋体"/>
                <w:color w:val="000000"/>
                <w:sz w:val="22"/>
                <w:szCs w:val="22"/>
              </w:rPr>
            </w:pPr>
            <w:r>
              <w:rPr>
                <w:rFonts w:hint="eastAsia" w:ascii="宋体" w:hAnsi="宋体" w:cs="宋体"/>
                <w:color w:val="000000"/>
                <w:sz w:val="22"/>
                <w:szCs w:val="22"/>
              </w:rPr>
              <w:t>客户</w:t>
            </w:r>
          </w:p>
          <w:p w14:paraId="7CE8AA81">
            <w:pPr>
              <w:widowControl/>
              <w:jc w:val="center"/>
              <w:rPr>
                <w:rFonts w:ascii="宋体" w:hAnsi="宋体" w:cs="宋体"/>
                <w:color w:val="000000"/>
                <w:sz w:val="22"/>
                <w:szCs w:val="22"/>
              </w:rPr>
            </w:pPr>
            <w:r>
              <w:rPr>
                <w:rFonts w:hint="eastAsia" w:ascii="宋体" w:hAnsi="宋体" w:cs="宋体"/>
                <w:color w:val="000000"/>
                <w:sz w:val="22"/>
                <w:szCs w:val="22"/>
              </w:rPr>
              <w:t>期望</w:t>
            </w:r>
          </w:p>
        </w:tc>
        <w:tc>
          <w:tcPr>
            <w:tcW w:w="2693" w:type="dxa"/>
            <w:gridSpan w:val="2"/>
            <w:vAlign w:val="center"/>
          </w:tcPr>
          <w:p w14:paraId="0B905261">
            <w:pPr>
              <w:widowControl/>
              <w:jc w:val="center"/>
              <w:rPr>
                <w:rFonts w:ascii="宋体" w:hAnsi="宋体" w:cs="宋体"/>
                <w:color w:val="000000"/>
                <w:sz w:val="22"/>
                <w:szCs w:val="22"/>
              </w:rPr>
            </w:pPr>
            <w:r>
              <w:rPr>
                <w:rFonts w:hint="eastAsia" w:ascii="宋体" w:hAnsi="宋体" w:cs="宋体"/>
                <w:color w:val="000000"/>
                <w:sz w:val="22"/>
                <w:szCs w:val="22"/>
              </w:rPr>
              <w:t>过程监控</w:t>
            </w:r>
          </w:p>
        </w:tc>
      </w:tr>
      <w:tr w14:paraId="7B7E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59" w:type="dxa"/>
            <w:vMerge w:val="continue"/>
            <w:vAlign w:val="center"/>
          </w:tcPr>
          <w:p w14:paraId="29601898">
            <w:pPr>
              <w:rPr>
                <w:rFonts w:ascii="宋体" w:hAnsi="宋体" w:cs="Times New Roman"/>
                <w:sz w:val="22"/>
                <w:szCs w:val="22"/>
              </w:rPr>
            </w:pPr>
          </w:p>
        </w:tc>
        <w:tc>
          <w:tcPr>
            <w:tcW w:w="706" w:type="dxa"/>
            <w:vAlign w:val="center"/>
          </w:tcPr>
          <w:p w14:paraId="3B4F151E">
            <w:pPr>
              <w:widowControl/>
              <w:jc w:val="left"/>
              <w:rPr>
                <w:rFonts w:ascii="宋体" w:hAnsi="宋体" w:cs="宋体"/>
                <w:color w:val="000000"/>
                <w:sz w:val="22"/>
                <w:szCs w:val="22"/>
              </w:rPr>
            </w:pPr>
            <w:r>
              <w:rPr>
                <w:rFonts w:hint="eastAsia" w:ascii="宋体" w:hAnsi="宋体" w:cs="宋体"/>
                <w:color w:val="000000"/>
                <w:sz w:val="22"/>
                <w:szCs w:val="22"/>
              </w:rPr>
              <w:t>一级</w:t>
            </w:r>
          </w:p>
          <w:p w14:paraId="572375F2">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738" w:type="dxa"/>
            <w:vAlign w:val="center"/>
          </w:tcPr>
          <w:p w14:paraId="77FE6FA6">
            <w:pPr>
              <w:widowControl/>
              <w:jc w:val="left"/>
              <w:rPr>
                <w:rFonts w:ascii="宋体" w:hAnsi="宋体" w:cs="宋体"/>
                <w:color w:val="000000"/>
                <w:sz w:val="22"/>
                <w:szCs w:val="22"/>
              </w:rPr>
            </w:pPr>
            <w:r>
              <w:rPr>
                <w:rFonts w:hint="eastAsia" w:ascii="宋体" w:hAnsi="宋体" w:cs="宋体"/>
                <w:color w:val="000000"/>
                <w:sz w:val="22"/>
                <w:szCs w:val="22"/>
              </w:rPr>
              <w:t>二级</w:t>
            </w:r>
          </w:p>
          <w:p w14:paraId="5E2DE0E9">
            <w:pPr>
              <w:widowControl/>
              <w:jc w:val="left"/>
              <w:rPr>
                <w:rFonts w:ascii="宋体" w:hAnsi="宋体" w:cs="宋体"/>
                <w:color w:val="000000"/>
                <w:sz w:val="22"/>
                <w:szCs w:val="22"/>
              </w:rPr>
            </w:pPr>
            <w:r>
              <w:rPr>
                <w:rFonts w:hint="eastAsia" w:ascii="宋体" w:hAnsi="宋体" w:cs="宋体"/>
                <w:color w:val="000000"/>
                <w:sz w:val="22"/>
                <w:szCs w:val="22"/>
              </w:rPr>
              <w:t>过程</w:t>
            </w:r>
          </w:p>
        </w:tc>
        <w:tc>
          <w:tcPr>
            <w:tcW w:w="3231" w:type="dxa"/>
            <w:vMerge w:val="continue"/>
            <w:vAlign w:val="center"/>
          </w:tcPr>
          <w:p w14:paraId="1737A78F">
            <w:pPr>
              <w:rPr>
                <w:rFonts w:ascii="宋体" w:hAnsi="宋体" w:cs="Times New Roman"/>
                <w:sz w:val="22"/>
                <w:szCs w:val="22"/>
              </w:rPr>
            </w:pPr>
          </w:p>
        </w:tc>
        <w:tc>
          <w:tcPr>
            <w:tcW w:w="2977" w:type="dxa"/>
            <w:vMerge w:val="continue"/>
            <w:vAlign w:val="center"/>
          </w:tcPr>
          <w:p w14:paraId="3B12D986">
            <w:pPr>
              <w:rPr>
                <w:rFonts w:ascii="宋体" w:hAnsi="宋体" w:cs="Times New Roman"/>
                <w:sz w:val="22"/>
                <w:szCs w:val="22"/>
              </w:rPr>
            </w:pPr>
          </w:p>
        </w:tc>
        <w:tc>
          <w:tcPr>
            <w:tcW w:w="1455" w:type="dxa"/>
            <w:vMerge w:val="continue"/>
            <w:vAlign w:val="center"/>
          </w:tcPr>
          <w:p w14:paraId="19FF5BFE">
            <w:pPr>
              <w:rPr>
                <w:rFonts w:ascii="宋体" w:hAnsi="宋体" w:cs="Times New Roman"/>
                <w:sz w:val="22"/>
                <w:szCs w:val="22"/>
              </w:rPr>
            </w:pPr>
          </w:p>
        </w:tc>
        <w:tc>
          <w:tcPr>
            <w:tcW w:w="954" w:type="dxa"/>
            <w:vMerge w:val="continue"/>
            <w:vAlign w:val="center"/>
          </w:tcPr>
          <w:p w14:paraId="6247466F">
            <w:pPr>
              <w:rPr>
                <w:rFonts w:ascii="宋体" w:hAnsi="宋体" w:cs="Times New Roman"/>
                <w:sz w:val="22"/>
                <w:szCs w:val="22"/>
              </w:rPr>
            </w:pPr>
          </w:p>
        </w:tc>
        <w:tc>
          <w:tcPr>
            <w:tcW w:w="992" w:type="dxa"/>
            <w:vMerge w:val="continue"/>
            <w:vAlign w:val="center"/>
          </w:tcPr>
          <w:p w14:paraId="781C517A">
            <w:pPr>
              <w:rPr>
                <w:rFonts w:ascii="宋体" w:hAnsi="宋体" w:cs="Times New Roman"/>
                <w:sz w:val="22"/>
                <w:szCs w:val="22"/>
              </w:rPr>
            </w:pPr>
          </w:p>
        </w:tc>
        <w:tc>
          <w:tcPr>
            <w:tcW w:w="1370" w:type="dxa"/>
            <w:vAlign w:val="center"/>
          </w:tcPr>
          <w:p w14:paraId="6C69D1EC">
            <w:pPr>
              <w:widowControl/>
              <w:jc w:val="center"/>
              <w:rPr>
                <w:rFonts w:ascii="宋体" w:hAnsi="宋体" w:cs="宋体"/>
                <w:color w:val="000000"/>
                <w:sz w:val="22"/>
                <w:szCs w:val="22"/>
              </w:rPr>
            </w:pPr>
            <w:r>
              <w:rPr>
                <w:rFonts w:hint="eastAsia" w:ascii="宋体" w:hAnsi="宋体" w:cs="宋体"/>
                <w:color w:val="000000"/>
                <w:sz w:val="22"/>
                <w:szCs w:val="22"/>
              </w:rPr>
              <w:t>绩效目标</w:t>
            </w:r>
          </w:p>
        </w:tc>
        <w:tc>
          <w:tcPr>
            <w:tcW w:w="1323" w:type="dxa"/>
            <w:vAlign w:val="center"/>
          </w:tcPr>
          <w:p w14:paraId="7610506F">
            <w:pPr>
              <w:widowControl/>
              <w:jc w:val="center"/>
              <w:rPr>
                <w:rFonts w:ascii="宋体" w:hAnsi="宋体" w:cs="宋体"/>
                <w:color w:val="000000"/>
                <w:sz w:val="22"/>
                <w:szCs w:val="22"/>
              </w:rPr>
            </w:pPr>
            <w:r>
              <w:rPr>
                <w:rFonts w:hint="eastAsia" w:ascii="宋体" w:hAnsi="宋体" w:cs="宋体"/>
                <w:color w:val="000000"/>
                <w:sz w:val="22"/>
                <w:szCs w:val="22"/>
              </w:rPr>
              <w:t>测量</w:t>
            </w:r>
          </w:p>
        </w:tc>
      </w:tr>
      <w:tr w14:paraId="289D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3DD3CE22">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27720E29">
            <w:pPr>
              <w:widowControl/>
              <w:jc w:val="center"/>
              <w:rPr>
                <w:rFonts w:ascii="宋体" w:hAnsi="宋体" w:cs="宋体"/>
                <w:color w:val="000000"/>
                <w:sz w:val="22"/>
                <w:szCs w:val="22"/>
              </w:rPr>
            </w:pPr>
            <w:r>
              <w:rPr>
                <w:rFonts w:hint="eastAsia" w:ascii="宋体" w:hAnsi="宋体" w:cs="宋体"/>
                <w:color w:val="000000"/>
                <w:sz w:val="22"/>
                <w:szCs w:val="22"/>
              </w:rPr>
              <w:t>产品和服务要求的确定</w:t>
            </w:r>
          </w:p>
        </w:tc>
        <w:tc>
          <w:tcPr>
            <w:tcW w:w="738" w:type="dxa"/>
            <w:vAlign w:val="center"/>
          </w:tcPr>
          <w:p w14:paraId="15D796E9">
            <w:pPr>
              <w:widowControl/>
              <w:jc w:val="left"/>
              <w:rPr>
                <w:rFonts w:ascii="宋体" w:hAnsi="宋体" w:cs="宋体"/>
                <w:color w:val="000000"/>
                <w:sz w:val="22"/>
                <w:szCs w:val="22"/>
              </w:rPr>
            </w:pPr>
            <w:r>
              <w:rPr>
                <w:rFonts w:hint="eastAsia" w:ascii="宋体" w:hAnsi="宋体" w:cs="宋体"/>
                <w:color w:val="000000"/>
                <w:sz w:val="22"/>
                <w:szCs w:val="22"/>
              </w:rPr>
              <w:t>市场分析</w:t>
            </w:r>
          </w:p>
        </w:tc>
        <w:tc>
          <w:tcPr>
            <w:tcW w:w="3231" w:type="dxa"/>
            <w:vAlign w:val="center"/>
          </w:tcPr>
          <w:p w14:paraId="5E867688">
            <w:pPr>
              <w:widowControl/>
              <w:jc w:val="left"/>
              <w:rPr>
                <w:rFonts w:ascii="宋体" w:hAnsi="宋体" w:cs="宋体"/>
                <w:color w:val="000000"/>
                <w:sz w:val="22"/>
                <w:szCs w:val="22"/>
              </w:rPr>
            </w:pPr>
            <w:r>
              <w:rPr>
                <w:rFonts w:hint="eastAsia" w:ascii="宋体" w:hAnsi="宋体" w:cs="宋体"/>
                <w:color w:val="000000"/>
                <w:sz w:val="22"/>
                <w:szCs w:val="22"/>
              </w:rPr>
              <w:t>客户资料；市场需求资料；同行业竞争对手相关动态；相关法律政策</w:t>
            </w:r>
          </w:p>
        </w:tc>
        <w:tc>
          <w:tcPr>
            <w:tcW w:w="2977" w:type="dxa"/>
            <w:vAlign w:val="center"/>
          </w:tcPr>
          <w:p w14:paraId="1B74E123">
            <w:pPr>
              <w:widowControl/>
              <w:jc w:val="left"/>
              <w:rPr>
                <w:rFonts w:ascii="宋体" w:hAnsi="宋体" w:cs="宋体"/>
                <w:sz w:val="22"/>
                <w:szCs w:val="22"/>
              </w:rPr>
            </w:pPr>
            <w:r>
              <w:rPr>
                <w:rFonts w:hint="eastAsia" w:ascii="宋体" w:hAnsi="宋体" w:cs="宋体"/>
                <w:sz w:val="22"/>
                <w:szCs w:val="22"/>
              </w:rPr>
              <w:t>市场需求报告；客户订单需求和报价策略</w:t>
            </w:r>
          </w:p>
        </w:tc>
        <w:tc>
          <w:tcPr>
            <w:tcW w:w="1455" w:type="dxa"/>
            <w:vAlign w:val="center"/>
          </w:tcPr>
          <w:p w14:paraId="14C5A3B9">
            <w:pPr>
              <w:widowControl/>
              <w:jc w:val="left"/>
              <w:rPr>
                <w:rFonts w:ascii="宋体" w:hAnsi="宋体" w:cs="宋体"/>
                <w:color w:val="000000"/>
                <w:sz w:val="22"/>
                <w:szCs w:val="22"/>
              </w:rPr>
            </w:pPr>
            <w:r>
              <w:rPr>
                <w:rFonts w:hint="eastAsia" w:ascii="宋体" w:hAnsi="宋体" w:cs="宋体"/>
                <w:color w:val="000000"/>
                <w:sz w:val="22"/>
                <w:szCs w:val="22"/>
              </w:rPr>
              <w:t>网络、电话、传真、E-mail、会议、客户档案、营销员</w:t>
            </w:r>
          </w:p>
        </w:tc>
        <w:tc>
          <w:tcPr>
            <w:tcW w:w="954" w:type="dxa"/>
            <w:vAlign w:val="center"/>
          </w:tcPr>
          <w:p w14:paraId="26D36D4A">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29EFE8F2">
            <w:pPr>
              <w:widowControl/>
              <w:jc w:val="left"/>
              <w:rPr>
                <w:rFonts w:ascii="宋体" w:hAnsi="宋体" w:cs="宋体"/>
                <w:sz w:val="22"/>
                <w:szCs w:val="22"/>
              </w:rPr>
            </w:pPr>
            <w:r>
              <w:rPr>
                <w:rFonts w:hint="eastAsia" w:ascii="宋体" w:hAnsi="宋体" w:cs="宋体"/>
                <w:sz w:val="22"/>
                <w:szCs w:val="22"/>
              </w:rPr>
              <w:t>每半年进行市场分析调查</w:t>
            </w:r>
          </w:p>
        </w:tc>
        <w:tc>
          <w:tcPr>
            <w:tcW w:w="1370" w:type="dxa"/>
            <w:vAlign w:val="center"/>
          </w:tcPr>
          <w:p w14:paraId="37B0A580">
            <w:pPr>
              <w:widowControl/>
              <w:jc w:val="center"/>
              <w:rPr>
                <w:rFonts w:ascii="宋体" w:hAnsi="宋体" w:cs="宋体"/>
                <w:sz w:val="22"/>
                <w:szCs w:val="22"/>
              </w:rPr>
            </w:pPr>
            <w:r>
              <w:rPr>
                <w:rFonts w:hint="eastAsia" w:ascii="宋体" w:hAnsi="宋体" w:cs="宋体"/>
                <w:sz w:val="22"/>
                <w:szCs w:val="22"/>
              </w:rPr>
              <w:t>每年取得1-2个新客户；老客户的产品订单占有提升5%</w:t>
            </w:r>
          </w:p>
        </w:tc>
        <w:tc>
          <w:tcPr>
            <w:tcW w:w="1323" w:type="dxa"/>
            <w:vAlign w:val="center"/>
          </w:tcPr>
          <w:p w14:paraId="6849DCF7">
            <w:pPr>
              <w:widowControl/>
              <w:jc w:val="center"/>
              <w:rPr>
                <w:rFonts w:ascii="宋体" w:hAnsi="宋体" w:cs="宋体"/>
                <w:color w:val="000000"/>
                <w:sz w:val="22"/>
                <w:szCs w:val="22"/>
              </w:rPr>
            </w:pPr>
            <w:r>
              <w:rPr>
                <w:rFonts w:hint="eastAsia" w:ascii="宋体" w:hAnsi="宋体" w:cs="宋体"/>
                <w:color w:val="000000"/>
                <w:sz w:val="22"/>
                <w:szCs w:val="22"/>
              </w:rPr>
              <w:t>每年1次在管理评审中形成分析报告</w:t>
            </w:r>
          </w:p>
        </w:tc>
      </w:tr>
      <w:tr w14:paraId="7A37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40AA1E3">
            <w:pPr>
              <w:rPr>
                <w:rFonts w:ascii="宋体" w:hAnsi="宋体" w:cs="Times New Roman"/>
                <w:sz w:val="22"/>
                <w:szCs w:val="22"/>
              </w:rPr>
            </w:pPr>
          </w:p>
        </w:tc>
        <w:tc>
          <w:tcPr>
            <w:tcW w:w="706" w:type="dxa"/>
            <w:vMerge w:val="continue"/>
            <w:vAlign w:val="center"/>
          </w:tcPr>
          <w:p w14:paraId="4A99C35B">
            <w:pPr>
              <w:rPr>
                <w:rFonts w:ascii="宋体" w:hAnsi="宋体" w:cs="Times New Roman"/>
                <w:sz w:val="22"/>
                <w:szCs w:val="22"/>
              </w:rPr>
            </w:pPr>
          </w:p>
        </w:tc>
        <w:tc>
          <w:tcPr>
            <w:tcW w:w="738" w:type="dxa"/>
            <w:vAlign w:val="center"/>
          </w:tcPr>
          <w:p w14:paraId="097D545D">
            <w:pPr>
              <w:widowControl/>
              <w:jc w:val="left"/>
              <w:rPr>
                <w:rFonts w:ascii="宋体" w:hAnsi="宋体" w:cs="宋体"/>
                <w:sz w:val="22"/>
                <w:szCs w:val="22"/>
              </w:rPr>
            </w:pPr>
            <w:r>
              <w:rPr>
                <w:rFonts w:hint="eastAsia" w:ascii="宋体" w:hAnsi="宋体" w:cs="宋体"/>
                <w:sz w:val="22"/>
                <w:szCs w:val="22"/>
              </w:rPr>
              <w:t>投标报价</w:t>
            </w:r>
          </w:p>
        </w:tc>
        <w:tc>
          <w:tcPr>
            <w:tcW w:w="3231" w:type="dxa"/>
            <w:vAlign w:val="center"/>
          </w:tcPr>
          <w:p w14:paraId="4CED94E1">
            <w:pPr>
              <w:widowControl/>
              <w:jc w:val="left"/>
              <w:rPr>
                <w:rFonts w:ascii="宋体" w:hAnsi="宋体" w:cs="宋体"/>
                <w:sz w:val="22"/>
                <w:szCs w:val="22"/>
              </w:rPr>
            </w:pPr>
            <w:r>
              <w:rPr>
                <w:rFonts w:hint="eastAsia" w:ascii="宋体" w:hAnsi="宋体" w:cs="宋体"/>
                <w:sz w:val="22"/>
                <w:szCs w:val="22"/>
              </w:rPr>
              <w:t>市场需求报告；客户订单需求和报价策略（产品图纸、特殊要求、交期、质量标准、市场参考价等）</w:t>
            </w:r>
          </w:p>
        </w:tc>
        <w:tc>
          <w:tcPr>
            <w:tcW w:w="2977" w:type="dxa"/>
            <w:vAlign w:val="center"/>
          </w:tcPr>
          <w:p w14:paraId="4621655F">
            <w:pPr>
              <w:widowControl/>
              <w:jc w:val="left"/>
              <w:rPr>
                <w:rFonts w:ascii="宋体" w:hAnsi="宋体" w:cs="宋体"/>
                <w:sz w:val="22"/>
                <w:szCs w:val="22"/>
              </w:rPr>
            </w:pPr>
            <w:r>
              <w:rPr>
                <w:rFonts w:hint="eastAsia" w:ascii="宋体" w:hAnsi="宋体" w:cs="宋体"/>
                <w:sz w:val="22"/>
                <w:szCs w:val="22"/>
              </w:rPr>
              <w:t>客户合同</w:t>
            </w:r>
          </w:p>
        </w:tc>
        <w:tc>
          <w:tcPr>
            <w:tcW w:w="1455" w:type="dxa"/>
            <w:vAlign w:val="center"/>
          </w:tcPr>
          <w:p w14:paraId="3C92FFAA">
            <w:pPr>
              <w:widowControl/>
              <w:jc w:val="left"/>
              <w:rPr>
                <w:rFonts w:ascii="宋体" w:hAnsi="宋体" w:cs="宋体"/>
                <w:sz w:val="22"/>
                <w:szCs w:val="22"/>
              </w:rPr>
            </w:pPr>
            <w:r>
              <w:rPr>
                <w:rFonts w:hint="eastAsia" w:ascii="宋体" w:hAnsi="宋体" w:cs="宋体"/>
                <w:sz w:val="22"/>
                <w:szCs w:val="22"/>
              </w:rPr>
              <w:t>成本分析、相关办公设备和软件</w:t>
            </w:r>
          </w:p>
        </w:tc>
        <w:tc>
          <w:tcPr>
            <w:tcW w:w="954" w:type="dxa"/>
            <w:vAlign w:val="center"/>
          </w:tcPr>
          <w:p w14:paraId="5F60DEDE">
            <w:pPr>
              <w:widowControl/>
              <w:jc w:val="center"/>
              <w:rPr>
                <w:rFonts w:ascii="宋体" w:hAnsi="宋体" w:cs="宋体"/>
                <w:sz w:val="22"/>
                <w:szCs w:val="22"/>
              </w:rPr>
            </w:pPr>
            <w:r>
              <w:rPr>
                <w:rFonts w:hint="eastAsia" w:ascii="宋体" w:hAnsi="宋体" w:cs="宋体"/>
                <w:sz w:val="22"/>
                <w:szCs w:val="22"/>
              </w:rPr>
              <w:t>财务部市场部</w:t>
            </w:r>
          </w:p>
        </w:tc>
        <w:tc>
          <w:tcPr>
            <w:tcW w:w="992" w:type="dxa"/>
            <w:vAlign w:val="center"/>
          </w:tcPr>
          <w:p w14:paraId="470E557E">
            <w:pPr>
              <w:widowControl/>
              <w:jc w:val="left"/>
              <w:rPr>
                <w:rFonts w:ascii="宋体" w:hAnsi="宋体" w:cs="宋体"/>
                <w:sz w:val="22"/>
                <w:szCs w:val="22"/>
              </w:rPr>
            </w:pPr>
            <w:r>
              <w:rPr>
                <w:rFonts w:hint="eastAsia" w:ascii="宋体" w:hAnsi="宋体" w:cs="宋体"/>
                <w:sz w:val="22"/>
                <w:szCs w:val="22"/>
              </w:rPr>
              <w:t>提供合理的价格</w:t>
            </w:r>
          </w:p>
        </w:tc>
        <w:tc>
          <w:tcPr>
            <w:tcW w:w="1370" w:type="dxa"/>
            <w:vAlign w:val="center"/>
          </w:tcPr>
          <w:p w14:paraId="73C03326">
            <w:pPr>
              <w:widowControl/>
              <w:jc w:val="center"/>
              <w:rPr>
                <w:rFonts w:ascii="宋体" w:hAnsi="宋体" w:cs="宋体"/>
                <w:sz w:val="22"/>
                <w:szCs w:val="22"/>
              </w:rPr>
            </w:pPr>
            <w:r>
              <w:rPr>
                <w:rFonts w:hint="eastAsia" w:ascii="宋体" w:hAnsi="宋体" w:cs="宋体"/>
                <w:sz w:val="22"/>
                <w:szCs w:val="22"/>
              </w:rPr>
              <w:t>报价成功率</w:t>
            </w:r>
          </w:p>
        </w:tc>
        <w:tc>
          <w:tcPr>
            <w:tcW w:w="1323" w:type="dxa"/>
            <w:vAlign w:val="center"/>
          </w:tcPr>
          <w:p w14:paraId="22ACA97C">
            <w:pPr>
              <w:widowControl/>
              <w:jc w:val="center"/>
              <w:rPr>
                <w:rFonts w:ascii="宋体" w:hAnsi="宋体" w:cs="宋体"/>
                <w:sz w:val="22"/>
                <w:szCs w:val="22"/>
              </w:rPr>
            </w:pPr>
            <w:r>
              <w:rPr>
                <w:rFonts w:hint="eastAsia" w:ascii="宋体" w:hAnsi="宋体" w:cs="宋体"/>
                <w:sz w:val="22"/>
                <w:szCs w:val="22"/>
              </w:rPr>
              <w:t>每季度进行数据统计</w:t>
            </w:r>
          </w:p>
        </w:tc>
      </w:tr>
      <w:tr w14:paraId="3951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61F2E32">
            <w:pPr>
              <w:rPr>
                <w:rFonts w:ascii="宋体" w:hAnsi="宋体" w:cs="Times New Roman"/>
                <w:sz w:val="22"/>
                <w:szCs w:val="22"/>
              </w:rPr>
            </w:pPr>
          </w:p>
        </w:tc>
        <w:tc>
          <w:tcPr>
            <w:tcW w:w="706" w:type="dxa"/>
            <w:vMerge w:val="continue"/>
            <w:vAlign w:val="center"/>
          </w:tcPr>
          <w:p w14:paraId="53387E52">
            <w:pPr>
              <w:rPr>
                <w:rFonts w:ascii="宋体" w:hAnsi="宋体" w:cs="Times New Roman"/>
                <w:sz w:val="22"/>
                <w:szCs w:val="22"/>
              </w:rPr>
            </w:pPr>
          </w:p>
        </w:tc>
        <w:tc>
          <w:tcPr>
            <w:tcW w:w="738" w:type="dxa"/>
            <w:vAlign w:val="center"/>
          </w:tcPr>
          <w:p w14:paraId="3196C107">
            <w:pPr>
              <w:widowControl/>
              <w:jc w:val="left"/>
              <w:rPr>
                <w:rFonts w:ascii="宋体" w:hAnsi="宋体" w:cs="宋体"/>
                <w:color w:val="000000"/>
                <w:sz w:val="22"/>
                <w:szCs w:val="22"/>
              </w:rPr>
            </w:pPr>
            <w:r>
              <w:rPr>
                <w:rFonts w:hint="eastAsia" w:ascii="宋体" w:hAnsi="宋体" w:cs="宋体"/>
                <w:color w:val="000000"/>
                <w:sz w:val="22"/>
                <w:szCs w:val="22"/>
              </w:rPr>
              <w:t>合同评审</w:t>
            </w:r>
          </w:p>
        </w:tc>
        <w:tc>
          <w:tcPr>
            <w:tcW w:w="3231" w:type="dxa"/>
            <w:vAlign w:val="center"/>
          </w:tcPr>
          <w:p w14:paraId="7BB349CB">
            <w:pPr>
              <w:widowControl/>
              <w:jc w:val="left"/>
              <w:rPr>
                <w:rFonts w:ascii="宋体" w:hAnsi="宋体" w:cs="宋体"/>
                <w:color w:val="000000"/>
                <w:sz w:val="22"/>
                <w:szCs w:val="22"/>
              </w:rPr>
            </w:pPr>
            <w:r>
              <w:rPr>
                <w:rFonts w:hint="eastAsia" w:ascii="宋体" w:hAnsi="宋体" w:cs="宋体"/>
                <w:color w:val="000000"/>
                <w:sz w:val="22"/>
                <w:szCs w:val="22"/>
              </w:rPr>
              <w:t>客户合同</w:t>
            </w:r>
          </w:p>
        </w:tc>
        <w:tc>
          <w:tcPr>
            <w:tcW w:w="2977" w:type="dxa"/>
            <w:vAlign w:val="center"/>
          </w:tcPr>
          <w:p w14:paraId="42B9A30D">
            <w:pPr>
              <w:widowControl/>
              <w:jc w:val="left"/>
              <w:rPr>
                <w:rFonts w:ascii="宋体" w:hAnsi="宋体" w:cs="宋体"/>
                <w:color w:val="000000"/>
                <w:sz w:val="22"/>
                <w:szCs w:val="22"/>
              </w:rPr>
            </w:pPr>
            <w:r>
              <w:rPr>
                <w:rFonts w:hint="eastAsia" w:ascii="宋体" w:hAnsi="宋体" w:cs="宋体"/>
                <w:color w:val="000000"/>
                <w:sz w:val="22"/>
                <w:szCs w:val="22"/>
              </w:rPr>
              <w:t>客户订单要求（产品和过程的特殊特性、技术规范、图样设计或更改、设备和进度要求、质量标准要求等）</w:t>
            </w:r>
          </w:p>
        </w:tc>
        <w:tc>
          <w:tcPr>
            <w:tcW w:w="1455" w:type="dxa"/>
            <w:vAlign w:val="center"/>
          </w:tcPr>
          <w:p w14:paraId="10A58E98">
            <w:pPr>
              <w:widowControl/>
              <w:jc w:val="left"/>
              <w:rPr>
                <w:rFonts w:ascii="宋体" w:hAnsi="宋体" w:cs="宋体"/>
                <w:sz w:val="22"/>
                <w:szCs w:val="22"/>
              </w:rPr>
            </w:pPr>
            <w:r>
              <w:rPr>
                <w:rFonts w:hint="eastAsia" w:ascii="宋体" w:hAnsi="宋体" w:cs="宋体"/>
                <w:sz w:val="22"/>
                <w:szCs w:val="22"/>
              </w:rPr>
              <w:t>合同评审表、非常规采购件清单</w:t>
            </w:r>
          </w:p>
        </w:tc>
        <w:tc>
          <w:tcPr>
            <w:tcW w:w="954" w:type="dxa"/>
            <w:vAlign w:val="center"/>
          </w:tcPr>
          <w:p w14:paraId="371532B4">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080CCDB4">
            <w:pPr>
              <w:widowControl/>
              <w:jc w:val="left"/>
              <w:rPr>
                <w:rFonts w:ascii="宋体" w:hAnsi="宋体" w:cs="宋体"/>
                <w:color w:val="000000"/>
                <w:sz w:val="22"/>
                <w:szCs w:val="22"/>
              </w:rPr>
            </w:pPr>
            <w:r>
              <w:rPr>
                <w:rFonts w:hint="eastAsia" w:ascii="宋体" w:hAnsi="宋体" w:cs="宋体"/>
                <w:color w:val="000000"/>
                <w:sz w:val="22"/>
                <w:szCs w:val="22"/>
              </w:rPr>
              <w:t>及时回复确定订单要求</w:t>
            </w:r>
          </w:p>
        </w:tc>
        <w:tc>
          <w:tcPr>
            <w:tcW w:w="1370" w:type="dxa"/>
            <w:vAlign w:val="center"/>
          </w:tcPr>
          <w:p w14:paraId="182F2189">
            <w:pPr>
              <w:widowControl/>
              <w:jc w:val="center"/>
              <w:rPr>
                <w:rFonts w:ascii="宋体" w:hAnsi="宋体" w:cs="宋体"/>
                <w:color w:val="000000"/>
                <w:sz w:val="22"/>
                <w:szCs w:val="22"/>
              </w:rPr>
            </w:pPr>
            <w:r>
              <w:rPr>
                <w:rFonts w:hint="eastAsia" w:ascii="宋体" w:hAnsi="宋体" w:cs="宋体"/>
                <w:color w:val="000000"/>
                <w:sz w:val="22"/>
                <w:szCs w:val="22"/>
              </w:rPr>
              <w:t>合同评审率100%</w:t>
            </w:r>
          </w:p>
        </w:tc>
        <w:tc>
          <w:tcPr>
            <w:tcW w:w="1323" w:type="dxa"/>
            <w:vAlign w:val="center"/>
          </w:tcPr>
          <w:p w14:paraId="004F43A7">
            <w:pPr>
              <w:widowControl/>
              <w:jc w:val="center"/>
              <w:rPr>
                <w:rFonts w:ascii="宋体" w:hAnsi="宋体" w:cs="宋体"/>
                <w:color w:val="000000"/>
                <w:sz w:val="22"/>
                <w:szCs w:val="22"/>
              </w:rPr>
            </w:pPr>
            <w:r>
              <w:rPr>
                <w:rFonts w:hint="eastAsia" w:ascii="宋体" w:hAnsi="宋体" w:cs="宋体"/>
                <w:color w:val="000000"/>
                <w:sz w:val="22"/>
                <w:szCs w:val="22"/>
              </w:rPr>
              <w:t>每月进行统计（每月合同评审完成率100%=已</w:t>
            </w:r>
            <w:r>
              <w:rPr>
                <w:rFonts w:hint="eastAsia" w:ascii="宋体" w:hAnsi="宋体" w:cs="宋体"/>
                <w:color w:val="000000"/>
                <w:spacing w:val="-16"/>
                <w:sz w:val="22"/>
                <w:szCs w:val="22"/>
              </w:rPr>
              <w:t>评审订单数量/总订单数量x100%）</w:t>
            </w:r>
          </w:p>
        </w:tc>
      </w:tr>
      <w:tr w14:paraId="34D3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CC38153">
            <w:pPr>
              <w:rPr>
                <w:rFonts w:ascii="宋体" w:hAnsi="宋体" w:cs="Times New Roman"/>
                <w:sz w:val="22"/>
                <w:szCs w:val="22"/>
              </w:rPr>
            </w:pPr>
          </w:p>
        </w:tc>
        <w:tc>
          <w:tcPr>
            <w:tcW w:w="706" w:type="dxa"/>
            <w:vAlign w:val="center"/>
          </w:tcPr>
          <w:p w14:paraId="2F467967">
            <w:pPr>
              <w:widowControl/>
              <w:jc w:val="left"/>
              <w:rPr>
                <w:rFonts w:ascii="宋体" w:hAnsi="宋体" w:cs="宋体"/>
                <w:color w:val="000000"/>
                <w:sz w:val="22"/>
                <w:szCs w:val="22"/>
              </w:rPr>
            </w:pPr>
            <w:r>
              <w:rPr>
                <w:rFonts w:hint="eastAsia" w:ascii="宋体" w:hAnsi="宋体" w:cs="宋体"/>
                <w:color w:val="000000"/>
                <w:sz w:val="22"/>
                <w:szCs w:val="22"/>
              </w:rPr>
              <w:t>运行策划过程</w:t>
            </w:r>
          </w:p>
        </w:tc>
        <w:tc>
          <w:tcPr>
            <w:tcW w:w="738" w:type="dxa"/>
            <w:vAlign w:val="center"/>
          </w:tcPr>
          <w:p w14:paraId="4AD9BAA7">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724CD6D">
            <w:pPr>
              <w:widowControl/>
              <w:jc w:val="left"/>
              <w:rPr>
                <w:rFonts w:ascii="宋体" w:hAnsi="宋体" w:cs="宋体"/>
                <w:color w:val="000000"/>
                <w:sz w:val="22"/>
                <w:szCs w:val="22"/>
              </w:rPr>
            </w:pPr>
          </w:p>
          <w:p w14:paraId="79BAA279">
            <w:pPr>
              <w:widowControl/>
              <w:jc w:val="left"/>
              <w:rPr>
                <w:rFonts w:ascii="宋体" w:hAnsi="宋体" w:cs="宋体"/>
                <w:color w:val="000000"/>
                <w:sz w:val="22"/>
                <w:szCs w:val="22"/>
              </w:rPr>
            </w:pPr>
          </w:p>
          <w:p w14:paraId="442500FC">
            <w:pPr>
              <w:widowControl/>
              <w:jc w:val="left"/>
              <w:rPr>
                <w:rFonts w:ascii="宋体" w:hAnsi="宋体" w:cs="宋体"/>
                <w:color w:val="000000"/>
                <w:sz w:val="22"/>
                <w:szCs w:val="22"/>
              </w:rPr>
            </w:pPr>
            <w:r>
              <w:rPr>
                <w:rFonts w:hint="eastAsia" w:ascii="宋体" w:hAnsi="宋体" w:cs="宋体"/>
                <w:color w:val="000000"/>
                <w:sz w:val="22"/>
                <w:szCs w:val="22"/>
              </w:rPr>
              <w:t>技术协议、产品的法律法规、技术标准、客户特定需求</w:t>
            </w:r>
          </w:p>
          <w:p w14:paraId="15B9F11A">
            <w:pPr>
              <w:widowControl/>
              <w:jc w:val="left"/>
              <w:rPr>
                <w:rFonts w:ascii="宋体" w:hAnsi="宋体" w:cs="宋体"/>
                <w:color w:val="000000"/>
                <w:sz w:val="22"/>
                <w:szCs w:val="22"/>
              </w:rPr>
            </w:pPr>
          </w:p>
          <w:p w14:paraId="640D92DB">
            <w:pPr>
              <w:widowControl/>
              <w:jc w:val="left"/>
              <w:rPr>
                <w:rFonts w:ascii="宋体" w:hAnsi="宋体" w:cs="宋体"/>
                <w:color w:val="000000"/>
                <w:sz w:val="22"/>
                <w:szCs w:val="22"/>
              </w:rPr>
            </w:pPr>
          </w:p>
          <w:p w14:paraId="63F7E069">
            <w:pPr>
              <w:widowControl/>
              <w:jc w:val="left"/>
              <w:rPr>
                <w:rFonts w:ascii="宋体" w:hAnsi="宋体" w:cs="宋体"/>
                <w:color w:val="000000"/>
                <w:sz w:val="22"/>
                <w:szCs w:val="22"/>
              </w:rPr>
            </w:pPr>
          </w:p>
        </w:tc>
        <w:tc>
          <w:tcPr>
            <w:tcW w:w="2977" w:type="dxa"/>
            <w:vAlign w:val="center"/>
          </w:tcPr>
          <w:p w14:paraId="540F665E">
            <w:pPr>
              <w:widowControl/>
              <w:jc w:val="left"/>
              <w:rPr>
                <w:rFonts w:ascii="宋体" w:hAnsi="宋体" w:cs="宋体"/>
                <w:color w:val="000000"/>
                <w:sz w:val="22"/>
                <w:szCs w:val="22"/>
              </w:rPr>
            </w:pPr>
            <w:r>
              <w:rPr>
                <w:rFonts w:hint="eastAsia" w:ascii="宋体" w:hAnsi="宋体" w:cs="宋体"/>
                <w:color w:val="000000"/>
                <w:sz w:val="22"/>
                <w:szCs w:val="22"/>
              </w:rPr>
              <w:t>产品的策划方案</w:t>
            </w:r>
          </w:p>
        </w:tc>
        <w:tc>
          <w:tcPr>
            <w:tcW w:w="1455" w:type="dxa"/>
            <w:vAlign w:val="center"/>
          </w:tcPr>
          <w:p w14:paraId="03804B15">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55359568">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287DF09C">
            <w:pPr>
              <w:widowControl/>
              <w:jc w:val="left"/>
              <w:rPr>
                <w:rFonts w:ascii="宋体" w:hAnsi="宋体" w:cs="宋体"/>
                <w:color w:val="000000"/>
                <w:sz w:val="22"/>
                <w:szCs w:val="22"/>
              </w:rPr>
            </w:pPr>
            <w:r>
              <w:rPr>
                <w:rFonts w:hint="eastAsia" w:ascii="宋体" w:hAnsi="宋体" w:cs="宋体"/>
                <w:color w:val="000000"/>
                <w:sz w:val="22"/>
                <w:szCs w:val="22"/>
              </w:rPr>
              <w:t>运行策划过程覆盖全面</w:t>
            </w:r>
          </w:p>
        </w:tc>
        <w:tc>
          <w:tcPr>
            <w:tcW w:w="1370" w:type="dxa"/>
            <w:vAlign w:val="center"/>
          </w:tcPr>
          <w:p w14:paraId="4422030F">
            <w:pPr>
              <w:widowControl/>
              <w:jc w:val="center"/>
              <w:rPr>
                <w:rFonts w:ascii="宋体" w:hAnsi="宋体" w:cs="宋体"/>
                <w:color w:val="000000"/>
                <w:sz w:val="22"/>
                <w:szCs w:val="22"/>
              </w:rPr>
            </w:pPr>
            <w:r>
              <w:rPr>
                <w:rFonts w:hint="eastAsia" w:ascii="宋体" w:hAnsi="宋体" w:cs="宋体"/>
                <w:color w:val="000000"/>
                <w:sz w:val="22"/>
                <w:szCs w:val="22"/>
              </w:rPr>
              <w:t>运行策划过程覆盖率≥90%</w:t>
            </w:r>
          </w:p>
        </w:tc>
        <w:tc>
          <w:tcPr>
            <w:tcW w:w="1323" w:type="dxa"/>
            <w:vAlign w:val="center"/>
          </w:tcPr>
          <w:p w14:paraId="39BB5F93">
            <w:pPr>
              <w:widowControl/>
              <w:jc w:val="center"/>
              <w:rPr>
                <w:rFonts w:ascii="宋体" w:hAnsi="宋体" w:cs="宋体"/>
                <w:color w:val="000000"/>
                <w:sz w:val="22"/>
                <w:szCs w:val="22"/>
              </w:rPr>
            </w:pPr>
          </w:p>
        </w:tc>
      </w:tr>
      <w:tr w14:paraId="5698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C65D57F">
            <w:pPr>
              <w:rPr>
                <w:rFonts w:ascii="宋体" w:hAnsi="宋体" w:cs="Times New Roman"/>
                <w:sz w:val="22"/>
                <w:szCs w:val="22"/>
              </w:rPr>
            </w:pPr>
          </w:p>
        </w:tc>
        <w:tc>
          <w:tcPr>
            <w:tcW w:w="706" w:type="dxa"/>
            <w:vMerge w:val="restart"/>
            <w:vAlign w:val="center"/>
          </w:tcPr>
          <w:p w14:paraId="194721E1">
            <w:pPr>
              <w:widowControl/>
              <w:jc w:val="left"/>
              <w:rPr>
                <w:rFonts w:ascii="宋体" w:hAnsi="宋体" w:cs="宋体"/>
                <w:color w:val="333333"/>
                <w:sz w:val="22"/>
                <w:szCs w:val="22"/>
              </w:rPr>
            </w:pPr>
            <w:r>
              <w:rPr>
                <w:rFonts w:hint="eastAsia" w:ascii="宋体" w:hAnsi="宋体" w:cs="宋体"/>
                <w:color w:val="333333"/>
                <w:sz w:val="22"/>
                <w:szCs w:val="22"/>
              </w:rPr>
              <w:t>产品和服务的设计开发</w:t>
            </w:r>
          </w:p>
        </w:tc>
        <w:tc>
          <w:tcPr>
            <w:tcW w:w="738" w:type="dxa"/>
            <w:vAlign w:val="center"/>
          </w:tcPr>
          <w:p w14:paraId="11E2F1E9">
            <w:pPr>
              <w:widowControl/>
              <w:jc w:val="left"/>
              <w:rPr>
                <w:rFonts w:ascii="宋体" w:hAnsi="宋体" w:cs="宋体"/>
                <w:color w:val="000000"/>
                <w:sz w:val="22"/>
                <w:szCs w:val="22"/>
              </w:rPr>
            </w:pPr>
            <w:r>
              <w:rPr>
                <w:rFonts w:hint="eastAsia" w:ascii="宋体" w:hAnsi="宋体" w:cs="宋体"/>
                <w:color w:val="333333"/>
                <w:sz w:val="22"/>
                <w:szCs w:val="22"/>
              </w:rPr>
              <w:t>软件接口设计</w:t>
            </w:r>
          </w:p>
        </w:tc>
        <w:tc>
          <w:tcPr>
            <w:tcW w:w="3231" w:type="dxa"/>
            <w:vMerge w:val="restart"/>
            <w:vAlign w:val="center"/>
          </w:tcPr>
          <w:p w14:paraId="5ABCAB9E">
            <w:pPr>
              <w:jc w:val="left"/>
              <w:rPr>
                <w:rFonts w:ascii="宋体" w:hAnsi="宋体" w:cs="宋体"/>
                <w:color w:val="000000"/>
                <w:w w:val="90"/>
                <w:sz w:val="22"/>
                <w:szCs w:val="22"/>
              </w:rPr>
            </w:pPr>
            <w:r>
              <w:rPr>
                <w:rFonts w:hint="eastAsia" w:ascii="宋体" w:hAnsi="宋体" w:cs="宋体"/>
                <w:color w:val="000000"/>
                <w:w w:val="90"/>
                <w:sz w:val="22"/>
                <w:szCs w:val="22"/>
              </w:rPr>
              <w:t>军方要求、客户订单要求（客户的设计信息、技术数据、需求规格说明、顾客指定的特殊特性等)、以往设计和开发的经验，法律法规要求，客户对产品的要求及公司成本要求、开发环境、设备和进度要求、质量标准要求等）、合同评审、</w:t>
            </w:r>
          </w:p>
        </w:tc>
        <w:tc>
          <w:tcPr>
            <w:tcW w:w="2977" w:type="dxa"/>
            <w:vMerge w:val="restart"/>
            <w:vAlign w:val="center"/>
          </w:tcPr>
          <w:p w14:paraId="74BCD2BE">
            <w:pPr>
              <w:jc w:val="left"/>
              <w:rPr>
                <w:rFonts w:ascii="宋体" w:hAnsi="宋体" w:cs="宋体"/>
                <w:color w:val="000000"/>
                <w:sz w:val="22"/>
                <w:szCs w:val="22"/>
              </w:rPr>
            </w:pPr>
            <w:r>
              <w:rPr>
                <w:rFonts w:hint="eastAsia" w:ascii="宋体" w:hAnsi="宋体" w:cs="宋体"/>
                <w:color w:val="000000"/>
                <w:sz w:val="22"/>
                <w:szCs w:val="22"/>
              </w:rPr>
              <w:t>软件接口设计说明、软件设计说明、数据库设计说明、产品接收准则、软件测试说明、软件测试报告、软件验收报告、软件版本说明、软件用户手册、软件研制总结、软件验收规范等，软件评审记录等。</w:t>
            </w:r>
          </w:p>
        </w:tc>
        <w:tc>
          <w:tcPr>
            <w:tcW w:w="1455" w:type="dxa"/>
            <w:vMerge w:val="restart"/>
            <w:vAlign w:val="center"/>
          </w:tcPr>
          <w:p w14:paraId="12ECA7C4">
            <w:pPr>
              <w:jc w:val="center"/>
              <w:rPr>
                <w:rFonts w:ascii="宋体" w:hAnsi="宋体" w:cs="宋体"/>
                <w:color w:val="000000"/>
                <w:sz w:val="22"/>
                <w:szCs w:val="22"/>
              </w:rPr>
            </w:pPr>
            <w:r>
              <w:rPr>
                <w:rFonts w:hint="eastAsia" w:ascii="宋体" w:hAnsi="宋体" w:cs="宋体"/>
                <w:color w:val="000000"/>
                <w:sz w:val="22"/>
                <w:szCs w:val="22"/>
              </w:rPr>
              <w:t>电脑、绘图软件、相关设备设施、监视和测量仪器</w:t>
            </w:r>
          </w:p>
        </w:tc>
        <w:tc>
          <w:tcPr>
            <w:tcW w:w="954" w:type="dxa"/>
            <w:vMerge w:val="restart"/>
            <w:vAlign w:val="center"/>
          </w:tcPr>
          <w:p w14:paraId="764BF970">
            <w:pPr>
              <w:jc w:val="left"/>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54E68083">
            <w:pPr>
              <w:jc w:val="center"/>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Merge w:val="restart"/>
            <w:vAlign w:val="center"/>
          </w:tcPr>
          <w:p w14:paraId="03F5CBE8">
            <w:pPr>
              <w:jc w:val="center"/>
              <w:rPr>
                <w:rFonts w:ascii="宋体" w:hAnsi="宋体" w:cs="宋体"/>
                <w:color w:val="000000"/>
                <w:sz w:val="22"/>
                <w:szCs w:val="22"/>
              </w:rPr>
            </w:pPr>
            <w:r>
              <w:rPr>
                <w:rFonts w:hint="eastAsia" w:ascii="宋体" w:hAnsi="宋体" w:cs="宋体"/>
                <w:color w:val="000000"/>
                <w:sz w:val="22"/>
                <w:szCs w:val="22"/>
              </w:rPr>
              <w:t>软件开发输出正确率≥90%</w:t>
            </w:r>
          </w:p>
        </w:tc>
        <w:tc>
          <w:tcPr>
            <w:tcW w:w="1323" w:type="dxa"/>
            <w:vMerge w:val="restart"/>
            <w:vAlign w:val="center"/>
          </w:tcPr>
          <w:p w14:paraId="4510E1DC">
            <w:pPr>
              <w:widowControl/>
              <w:jc w:val="center"/>
              <w:rPr>
                <w:rFonts w:ascii="宋体" w:hAnsi="宋体" w:cs="宋体"/>
                <w:color w:val="000000"/>
                <w:sz w:val="22"/>
                <w:szCs w:val="22"/>
              </w:rPr>
            </w:pPr>
            <w:r>
              <w:rPr>
                <w:rFonts w:hint="eastAsia" w:ascii="宋体" w:hAnsi="宋体" w:cs="宋体"/>
                <w:color w:val="000000"/>
                <w:sz w:val="22"/>
                <w:szCs w:val="22"/>
              </w:rPr>
              <w:t>软件开发输出正确率=开发输出正确数/开发输出总数</w:t>
            </w:r>
          </w:p>
        </w:tc>
      </w:tr>
      <w:tr w14:paraId="4ADD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03C1E28">
            <w:pPr>
              <w:rPr>
                <w:rFonts w:ascii="宋体" w:hAnsi="宋体" w:cs="Times New Roman"/>
                <w:sz w:val="22"/>
                <w:szCs w:val="22"/>
              </w:rPr>
            </w:pPr>
          </w:p>
        </w:tc>
        <w:tc>
          <w:tcPr>
            <w:tcW w:w="706" w:type="dxa"/>
            <w:vMerge w:val="continue"/>
            <w:vAlign w:val="center"/>
          </w:tcPr>
          <w:p w14:paraId="24EBE951">
            <w:pPr>
              <w:widowControl/>
              <w:jc w:val="left"/>
              <w:rPr>
                <w:rFonts w:ascii="宋体" w:hAnsi="宋体" w:cs="宋体"/>
                <w:color w:val="333333"/>
                <w:sz w:val="22"/>
                <w:szCs w:val="22"/>
              </w:rPr>
            </w:pPr>
          </w:p>
        </w:tc>
        <w:tc>
          <w:tcPr>
            <w:tcW w:w="738" w:type="dxa"/>
            <w:vAlign w:val="center"/>
          </w:tcPr>
          <w:p w14:paraId="3B9EE564">
            <w:pPr>
              <w:widowControl/>
              <w:jc w:val="left"/>
              <w:rPr>
                <w:rFonts w:ascii="宋体" w:hAnsi="宋体" w:cs="宋体"/>
                <w:color w:val="000000"/>
                <w:sz w:val="22"/>
                <w:szCs w:val="22"/>
              </w:rPr>
            </w:pPr>
            <w:r>
              <w:rPr>
                <w:rFonts w:hint="eastAsia" w:ascii="宋体" w:hAnsi="宋体" w:cs="宋体"/>
                <w:color w:val="333333"/>
                <w:sz w:val="22"/>
                <w:szCs w:val="22"/>
              </w:rPr>
              <w:t>软件设计</w:t>
            </w:r>
          </w:p>
        </w:tc>
        <w:tc>
          <w:tcPr>
            <w:tcW w:w="3231" w:type="dxa"/>
            <w:vMerge w:val="continue"/>
            <w:vAlign w:val="center"/>
          </w:tcPr>
          <w:p w14:paraId="3E228814">
            <w:pPr>
              <w:jc w:val="left"/>
              <w:rPr>
                <w:rFonts w:ascii="宋体" w:hAnsi="宋体" w:cs="宋体"/>
                <w:color w:val="000000"/>
                <w:w w:val="90"/>
                <w:sz w:val="22"/>
                <w:szCs w:val="22"/>
              </w:rPr>
            </w:pPr>
          </w:p>
        </w:tc>
        <w:tc>
          <w:tcPr>
            <w:tcW w:w="2977" w:type="dxa"/>
            <w:vMerge w:val="continue"/>
            <w:vAlign w:val="center"/>
          </w:tcPr>
          <w:p w14:paraId="142856AF">
            <w:pPr>
              <w:jc w:val="left"/>
              <w:rPr>
                <w:rFonts w:ascii="宋体" w:hAnsi="宋体" w:cs="宋体"/>
                <w:color w:val="000000"/>
                <w:sz w:val="22"/>
                <w:szCs w:val="22"/>
              </w:rPr>
            </w:pPr>
          </w:p>
        </w:tc>
        <w:tc>
          <w:tcPr>
            <w:tcW w:w="1455" w:type="dxa"/>
            <w:vMerge w:val="continue"/>
            <w:vAlign w:val="center"/>
          </w:tcPr>
          <w:p w14:paraId="730F4E9F">
            <w:pPr>
              <w:jc w:val="center"/>
              <w:rPr>
                <w:rFonts w:ascii="宋体" w:hAnsi="宋体" w:cs="宋体"/>
                <w:color w:val="000000"/>
                <w:sz w:val="22"/>
                <w:szCs w:val="22"/>
              </w:rPr>
            </w:pPr>
          </w:p>
        </w:tc>
        <w:tc>
          <w:tcPr>
            <w:tcW w:w="954" w:type="dxa"/>
            <w:vMerge w:val="continue"/>
            <w:vAlign w:val="center"/>
          </w:tcPr>
          <w:p w14:paraId="69C89952">
            <w:pPr>
              <w:jc w:val="left"/>
              <w:rPr>
                <w:rFonts w:ascii="宋体" w:hAnsi="宋体" w:cs="宋体"/>
                <w:color w:val="000000"/>
                <w:sz w:val="22"/>
                <w:szCs w:val="22"/>
              </w:rPr>
            </w:pPr>
          </w:p>
        </w:tc>
        <w:tc>
          <w:tcPr>
            <w:tcW w:w="992" w:type="dxa"/>
            <w:vMerge w:val="continue"/>
            <w:vAlign w:val="center"/>
          </w:tcPr>
          <w:p w14:paraId="2FAED147">
            <w:pPr>
              <w:jc w:val="center"/>
              <w:rPr>
                <w:rFonts w:ascii="宋体" w:hAnsi="宋体" w:cs="宋体"/>
                <w:color w:val="000000"/>
                <w:sz w:val="22"/>
                <w:szCs w:val="22"/>
              </w:rPr>
            </w:pPr>
          </w:p>
        </w:tc>
        <w:tc>
          <w:tcPr>
            <w:tcW w:w="1370" w:type="dxa"/>
            <w:vMerge w:val="continue"/>
            <w:vAlign w:val="center"/>
          </w:tcPr>
          <w:p w14:paraId="17D711A1">
            <w:pPr>
              <w:jc w:val="center"/>
              <w:rPr>
                <w:rFonts w:ascii="宋体" w:hAnsi="宋体" w:cs="宋体"/>
                <w:color w:val="000000"/>
                <w:sz w:val="22"/>
                <w:szCs w:val="22"/>
              </w:rPr>
            </w:pPr>
          </w:p>
        </w:tc>
        <w:tc>
          <w:tcPr>
            <w:tcW w:w="1323" w:type="dxa"/>
            <w:vMerge w:val="continue"/>
            <w:vAlign w:val="center"/>
          </w:tcPr>
          <w:p w14:paraId="24CFF5B1">
            <w:pPr>
              <w:widowControl/>
              <w:jc w:val="center"/>
              <w:rPr>
                <w:rFonts w:ascii="宋体" w:hAnsi="宋体" w:cs="宋体"/>
                <w:color w:val="000000"/>
                <w:sz w:val="22"/>
                <w:szCs w:val="22"/>
              </w:rPr>
            </w:pPr>
          </w:p>
        </w:tc>
      </w:tr>
      <w:tr w14:paraId="36B3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F669DA9">
            <w:pPr>
              <w:rPr>
                <w:rFonts w:ascii="宋体" w:hAnsi="宋体" w:cs="Times New Roman"/>
                <w:sz w:val="22"/>
                <w:szCs w:val="22"/>
              </w:rPr>
            </w:pPr>
          </w:p>
        </w:tc>
        <w:tc>
          <w:tcPr>
            <w:tcW w:w="706" w:type="dxa"/>
            <w:vMerge w:val="continue"/>
            <w:vAlign w:val="center"/>
          </w:tcPr>
          <w:p w14:paraId="6BE7B521">
            <w:pPr>
              <w:widowControl/>
              <w:jc w:val="left"/>
              <w:rPr>
                <w:rFonts w:ascii="宋体" w:hAnsi="宋体" w:cs="宋体"/>
                <w:color w:val="333333"/>
                <w:sz w:val="22"/>
                <w:szCs w:val="22"/>
              </w:rPr>
            </w:pPr>
          </w:p>
        </w:tc>
        <w:tc>
          <w:tcPr>
            <w:tcW w:w="738" w:type="dxa"/>
            <w:vAlign w:val="center"/>
          </w:tcPr>
          <w:p w14:paraId="4BEEF468">
            <w:pPr>
              <w:widowControl/>
              <w:jc w:val="left"/>
              <w:rPr>
                <w:rFonts w:ascii="宋体" w:hAnsi="宋体" w:cs="宋体"/>
                <w:color w:val="000000"/>
                <w:spacing w:val="-24"/>
                <w:sz w:val="22"/>
                <w:szCs w:val="22"/>
              </w:rPr>
            </w:pPr>
            <w:r>
              <w:rPr>
                <w:rFonts w:hint="eastAsia" w:ascii="宋体" w:hAnsi="宋体" w:cs="宋体"/>
                <w:color w:val="000000"/>
                <w:spacing w:val="-24"/>
                <w:sz w:val="22"/>
                <w:szCs w:val="22"/>
              </w:rPr>
              <w:t>数据库设计</w:t>
            </w:r>
          </w:p>
        </w:tc>
        <w:tc>
          <w:tcPr>
            <w:tcW w:w="3231" w:type="dxa"/>
            <w:vMerge w:val="continue"/>
            <w:vAlign w:val="center"/>
          </w:tcPr>
          <w:p w14:paraId="55DC5DF1">
            <w:pPr>
              <w:jc w:val="left"/>
              <w:rPr>
                <w:rFonts w:ascii="宋体" w:hAnsi="宋体" w:cs="宋体"/>
                <w:color w:val="000000"/>
                <w:w w:val="90"/>
                <w:sz w:val="22"/>
                <w:szCs w:val="22"/>
              </w:rPr>
            </w:pPr>
          </w:p>
        </w:tc>
        <w:tc>
          <w:tcPr>
            <w:tcW w:w="2977" w:type="dxa"/>
            <w:vMerge w:val="continue"/>
            <w:vAlign w:val="center"/>
          </w:tcPr>
          <w:p w14:paraId="09F0E85B">
            <w:pPr>
              <w:jc w:val="left"/>
              <w:rPr>
                <w:rFonts w:ascii="宋体" w:hAnsi="宋体" w:cs="宋体"/>
                <w:color w:val="000000"/>
                <w:sz w:val="22"/>
                <w:szCs w:val="22"/>
              </w:rPr>
            </w:pPr>
          </w:p>
        </w:tc>
        <w:tc>
          <w:tcPr>
            <w:tcW w:w="1455" w:type="dxa"/>
            <w:vMerge w:val="continue"/>
            <w:vAlign w:val="center"/>
          </w:tcPr>
          <w:p w14:paraId="2C0B9EF6">
            <w:pPr>
              <w:jc w:val="center"/>
              <w:rPr>
                <w:rFonts w:ascii="宋体" w:hAnsi="宋体" w:cs="宋体"/>
                <w:color w:val="000000"/>
                <w:sz w:val="22"/>
                <w:szCs w:val="22"/>
              </w:rPr>
            </w:pPr>
          </w:p>
        </w:tc>
        <w:tc>
          <w:tcPr>
            <w:tcW w:w="954" w:type="dxa"/>
            <w:vMerge w:val="continue"/>
            <w:vAlign w:val="center"/>
          </w:tcPr>
          <w:p w14:paraId="65A72EA9">
            <w:pPr>
              <w:jc w:val="left"/>
              <w:rPr>
                <w:rFonts w:ascii="宋体" w:hAnsi="宋体" w:cs="宋体"/>
                <w:color w:val="000000"/>
                <w:sz w:val="22"/>
                <w:szCs w:val="22"/>
              </w:rPr>
            </w:pPr>
          </w:p>
        </w:tc>
        <w:tc>
          <w:tcPr>
            <w:tcW w:w="992" w:type="dxa"/>
            <w:vMerge w:val="continue"/>
            <w:vAlign w:val="center"/>
          </w:tcPr>
          <w:p w14:paraId="04AA7F9C">
            <w:pPr>
              <w:jc w:val="center"/>
              <w:rPr>
                <w:rFonts w:ascii="宋体" w:hAnsi="宋体" w:cs="宋体"/>
                <w:color w:val="000000"/>
                <w:sz w:val="22"/>
                <w:szCs w:val="22"/>
              </w:rPr>
            </w:pPr>
          </w:p>
        </w:tc>
        <w:tc>
          <w:tcPr>
            <w:tcW w:w="1370" w:type="dxa"/>
            <w:vMerge w:val="continue"/>
            <w:vAlign w:val="center"/>
          </w:tcPr>
          <w:p w14:paraId="1A62E2BB">
            <w:pPr>
              <w:jc w:val="center"/>
              <w:rPr>
                <w:rFonts w:ascii="宋体" w:hAnsi="宋体" w:cs="宋体"/>
                <w:color w:val="000000"/>
                <w:sz w:val="22"/>
                <w:szCs w:val="22"/>
              </w:rPr>
            </w:pPr>
          </w:p>
        </w:tc>
        <w:tc>
          <w:tcPr>
            <w:tcW w:w="1323" w:type="dxa"/>
            <w:vMerge w:val="continue"/>
            <w:vAlign w:val="center"/>
          </w:tcPr>
          <w:p w14:paraId="554C8F71">
            <w:pPr>
              <w:widowControl/>
              <w:jc w:val="center"/>
              <w:rPr>
                <w:rFonts w:ascii="宋体" w:hAnsi="宋体" w:cs="宋体"/>
                <w:color w:val="000000"/>
                <w:sz w:val="22"/>
                <w:szCs w:val="22"/>
              </w:rPr>
            </w:pPr>
          </w:p>
        </w:tc>
      </w:tr>
      <w:tr w14:paraId="4E54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8D4391B">
            <w:pPr>
              <w:rPr>
                <w:rFonts w:ascii="宋体" w:hAnsi="宋体" w:cs="Times New Roman"/>
                <w:sz w:val="22"/>
                <w:szCs w:val="22"/>
              </w:rPr>
            </w:pPr>
          </w:p>
        </w:tc>
        <w:tc>
          <w:tcPr>
            <w:tcW w:w="706" w:type="dxa"/>
            <w:vMerge w:val="continue"/>
            <w:vAlign w:val="center"/>
          </w:tcPr>
          <w:p w14:paraId="18B49B79">
            <w:pPr>
              <w:widowControl/>
              <w:jc w:val="center"/>
              <w:rPr>
                <w:rFonts w:ascii="宋体" w:hAnsi="宋体" w:cs="宋体"/>
                <w:color w:val="000000"/>
                <w:sz w:val="22"/>
                <w:szCs w:val="22"/>
              </w:rPr>
            </w:pPr>
          </w:p>
        </w:tc>
        <w:tc>
          <w:tcPr>
            <w:tcW w:w="738" w:type="dxa"/>
            <w:vAlign w:val="center"/>
          </w:tcPr>
          <w:p w14:paraId="4AE48C89">
            <w:pPr>
              <w:widowControl/>
              <w:jc w:val="left"/>
              <w:rPr>
                <w:rFonts w:ascii="宋体" w:hAnsi="宋体" w:cs="宋体"/>
                <w:color w:val="000000"/>
                <w:sz w:val="22"/>
                <w:szCs w:val="22"/>
              </w:rPr>
            </w:pPr>
            <w:r>
              <w:rPr>
                <w:rFonts w:hint="eastAsia" w:ascii="宋体" w:hAnsi="宋体" w:cs="宋体"/>
                <w:color w:val="000000"/>
                <w:sz w:val="22"/>
                <w:szCs w:val="22"/>
              </w:rPr>
              <w:t>软件实现</w:t>
            </w:r>
          </w:p>
        </w:tc>
        <w:tc>
          <w:tcPr>
            <w:tcW w:w="3231" w:type="dxa"/>
            <w:vMerge w:val="restart"/>
            <w:vAlign w:val="center"/>
          </w:tcPr>
          <w:p w14:paraId="02575012">
            <w:pPr>
              <w:widowControl/>
              <w:jc w:val="left"/>
              <w:rPr>
                <w:rFonts w:ascii="宋体" w:hAnsi="宋体" w:cs="宋体"/>
                <w:color w:val="000000"/>
                <w:sz w:val="22"/>
                <w:szCs w:val="22"/>
              </w:rPr>
            </w:pPr>
            <w:r>
              <w:rPr>
                <w:rFonts w:hint="eastAsia" w:ascii="宋体" w:hAnsi="宋体" w:cs="宋体"/>
                <w:color w:val="000000"/>
                <w:sz w:val="22"/>
                <w:szCs w:val="22"/>
              </w:rPr>
              <w:t>接口需求规格说明、系统/子系统规格说明</w:t>
            </w:r>
          </w:p>
        </w:tc>
        <w:tc>
          <w:tcPr>
            <w:tcW w:w="2977" w:type="dxa"/>
            <w:vMerge w:val="restart"/>
            <w:vAlign w:val="center"/>
          </w:tcPr>
          <w:p w14:paraId="6F8B5111">
            <w:pPr>
              <w:widowControl/>
              <w:jc w:val="left"/>
              <w:rPr>
                <w:rFonts w:ascii="宋体" w:hAnsi="宋体" w:cs="宋体"/>
                <w:color w:val="000000"/>
                <w:sz w:val="22"/>
                <w:szCs w:val="22"/>
              </w:rPr>
            </w:pPr>
            <w:r>
              <w:rPr>
                <w:rFonts w:hint="eastAsia" w:ascii="宋体" w:hAnsi="宋体"/>
                <w:sz w:val="22"/>
                <w:szCs w:val="22"/>
              </w:rPr>
              <w:t>设计、开发和测试规范，数据模型，伪代码或源代码，软件文档（用户指南、操作文档、培训资料等），开发的产品</w:t>
            </w:r>
          </w:p>
        </w:tc>
        <w:tc>
          <w:tcPr>
            <w:tcW w:w="1455" w:type="dxa"/>
            <w:vMerge w:val="restart"/>
            <w:vAlign w:val="center"/>
          </w:tcPr>
          <w:p w14:paraId="1A041BAD">
            <w:pPr>
              <w:widowControl/>
              <w:jc w:val="left"/>
              <w:rPr>
                <w:rFonts w:ascii="宋体" w:hAnsi="宋体" w:cs="宋体"/>
                <w:color w:val="000000"/>
                <w:sz w:val="22"/>
                <w:szCs w:val="22"/>
              </w:rPr>
            </w:pPr>
            <w:r>
              <w:rPr>
                <w:rFonts w:hint="eastAsia" w:ascii="宋体" w:hAnsi="宋体" w:cs="宋体"/>
                <w:color w:val="000000"/>
                <w:sz w:val="22"/>
                <w:szCs w:val="22"/>
              </w:rPr>
              <w:t>软件开发工具、测试工具</w:t>
            </w:r>
          </w:p>
        </w:tc>
        <w:tc>
          <w:tcPr>
            <w:tcW w:w="954" w:type="dxa"/>
            <w:vMerge w:val="restart"/>
            <w:vAlign w:val="center"/>
          </w:tcPr>
          <w:p w14:paraId="25752939">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Merge w:val="restart"/>
            <w:vAlign w:val="center"/>
          </w:tcPr>
          <w:p w14:paraId="28BAD1E4">
            <w:pPr>
              <w:widowControl/>
              <w:jc w:val="left"/>
              <w:rPr>
                <w:rFonts w:ascii="宋体" w:hAnsi="宋体" w:cs="宋体"/>
                <w:color w:val="000000"/>
                <w:sz w:val="22"/>
                <w:szCs w:val="22"/>
              </w:rPr>
            </w:pPr>
            <w:r>
              <w:rPr>
                <w:rFonts w:hint="eastAsia" w:ascii="宋体" w:hAnsi="宋体" w:cs="宋体"/>
                <w:color w:val="000000"/>
                <w:sz w:val="22"/>
                <w:szCs w:val="22"/>
              </w:rPr>
              <w:t>在客户规定的期限内完成</w:t>
            </w:r>
          </w:p>
        </w:tc>
        <w:tc>
          <w:tcPr>
            <w:tcW w:w="1370" w:type="dxa"/>
            <w:vAlign w:val="center"/>
          </w:tcPr>
          <w:p w14:paraId="4B2B008A">
            <w:pPr>
              <w:widowControl/>
              <w:jc w:val="center"/>
              <w:rPr>
                <w:rFonts w:ascii="宋体" w:hAnsi="宋体" w:cs="宋体"/>
                <w:color w:val="000000"/>
                <w:sz w:val="22"/>
                <w:szCs w:val="22"/>
              </w:rPr>
            </w:pPr>
          </w:p>
        </w:tc>
        <w:tc>
          <w:tcPr>
            <w:tcW w:w="1323" w:type="dxa"/>
            <w:vAlign w:val="center"/>
          </w:tcPr>
          <w:p w14:paraId="19304C26">
            <w:pPr>
              <w:widowControl/>
              <w:jc w:val="center"/>
              <w:rPr>
                <w:rFonts w:ascii="宋体" w:hAnsi="宋体" w:cs="宋体"/>
                <w:color w:val="000000"/>
                <w:sz w:val="22"/>
                <w:szCs w:val="22"/>
              </w:rPr>
            </w:pPr>
          </w:p>
        </w:tc>
      </w:tr>
      <w:tr w14:paraId="1327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072A10A">
            <w:pPr>
              <w:rPr>
                <w:rFonts w:ascii="宋体" w:hAnsi="宋体" w:cs="Times New Roman"/>
                <w:sz w:val="22"/>
                <w:szCs w:val="22"/>
              </w:rPr>
            </w:pPr>
          </w:p>
        </w:tc>
        <w:tc>
          <w:tcPr>
            <w:tcW w:w="706" w:type="dxa"/>
            <w:vMerge w:val="continue"/>
            <w:vAlign w:val="center"/>
          </w:tcPr>
          <w:p w14:paraId="36DC8385">
            <w:pPr>
              <w:widowControl/>
              <w:jc w:val="center"/>
              <w:rPr>
                <w:rFonts w:ascii="宋体" w:hAnsi="宋体" w:cs="宋体"/>
                <w:color w:val="000000"/>
                <w:sz w:val="22"/>
                <w:szCs w:val="22"/>
              </w:rPr>
            </w:pPr>
          </w:p>
        </w:tc>
        <w:tc>
          <w:tcPr>
            <w:tcW w:w="738" w:type="dxa"/>
            <w:vAlign w:val="center"/>
          </w:tcPr>
          <w:p w14:paraId="47141FCE">
            <w:pPr>
              <w:widowControl/>
              <w:jc w:val="left"/>
              <w:rPr>
                <w:rFonts w:ascii="宋体" w:hAnsi="宋体" w:cs="宋体"/>
                <w:color w:val="000000"/>
                <w:sz w:val="22"/>
                <w:szCs w:val="22"/>
              </w:rPr>
            </w:pPr>
            <w:r>
              <w:rPr>
                <w:rFonts w:hint="eastAsia" w:ascii="宋体" w:hAnsi="宋体" w:cs="宋体"/>
                <w:color w:val="000000"/>
                <w:sz w:val="22"/>
                <w:szCs w:val="22"/>
              </w:rPr>
              <w:t>软件测试</w:t>
            </w:r>
          </w:p>
        </w:tc>
        <w:tc>
          <w:tcPr>
            <w:tcW w:w="3231" w:type="dxa"/>
            <w:vMerge w:val="continue"/>
            <w:vAlign w:val="center"/>
          </w:tcPr>
          <w:p w14:paraId="5CD319F6">
            <w:pPr>
              <w:widowControl/>
              <w:jc w:val="left"/>
              <w:rPr>
                <w:rFonts w:ascii="宋体" w:hAnsi="宋体" w:cs="宋体"/>
                <w:color w:val="000000"/>
                <w:sz w:val="22"/>
                <w:szCs w:val="22"/>
              </w:rPr>
            </w:pPr>
          </w:p>
        </w:tc>
        <w:tc>
          <w:tcPr>
            <w:tcW w:w="2977" w:type="dxa"/>
            <w:vMerge w:val="continue"/>
            <w:vAlign w:val="center"/>
          </w:tcPr>
          <w:p w14:paraId="75C4D080">
            <w:pPr>
              <w:widowControl/>
              <w:jc w:val="left"/>
              <w:rPr>
                <w:rFonts w:ascii="宋体" w:hAnsi="宋体" w:cs="宋体"/>
                <w:color w:val="000000"/>
                <w:sz w:val="22"/>
                <w:szCs w:val="22"/>
              </w:rPr>
            </w:pPr>
          </w:p>
        </w:tc>
        <w:tc>
          <w:tcPr>
            <w:tcW w:w="1455" w:type="dxa"/>
            <w:vMerge w:val="continue"/>
            <w:vAlign w:val="center"/>
          </w:tcPr>
          <w:p w14:paraId="52CAFF79">
            <w:pPr>
              <w:widowControl/>
              <w:jc w:val="left"/>
              <w:rPr>
                <w:rFonts w:ascii="宋体" w:hAnsi="宋体" w:cs="宋体"/>
                <w:color w:val="000000"/>
                <w:sz w:val="22"/>
                <w:szCs w:val="22"/>
              </w:rPr>
            </w:pPr>
          </w:p>
        </w:tc>
        <w:tc>
          <w:tcPr>
            <w:tcW w:w="954" w:type="dxa"/>
            <w:vMerge w:val="continue"/>
            <w:vAlign w:val="center"/>
          </w:tcPr>
          <w:p w14:paraId="37204B7A">
            <w:pPr>
              <w:widowControl/>
              <w:jc w:val="center"/>
              <w:rPr>
                <w:rFonts w:ascii="宋体" w:hAnsi="宋体" w:cs="宋体"/>
                <w:color w:val="000000"/>
                <w:sz w:val="22"/>
                <w:szCs w:val="22"/>
              </w:rPr>
            </w:pPr>
          </w:p>
        </w:tc>
        <w:tc>
          <w:tcPr>
            <w:tcW w:w="992" w:type="dxa"/>
            <w:vMerge w:val="continue"/>
            <w:vAlign w:val="center"/>
          </w:tcPr>
          <w:p w14:paraId="170D22F7">
            <w:pPr>
              <w:widowControl/>
              <w:jc w:val="left"/>
              <w:rPr>
                <w:rFonts w:ascii="宋体" w:hAnsi="宋体" w:cs="宋体"/>
                <w:color w:val="000000"/>
                <w:sz w:val="22"/>
                <w:szCs w:val="22"/>
              </w:rPr>
            </w:pPr>
          </w:p>
        </w:tc>
        <w:tc>
          <w:tcPr>
            <w:tcW w:w="1370" w:type="dxa"/>
            <w:vAlign w:val="center"/>
          </w:tcPr>
          <w:p w14:paraId="416326C3">
            <w:pPr>
              <w:widowControl/>
              <w:spacing w:line="240" w:lineRule="atLeast"/>
              <w:jc w:val="center"/>
              <w:rPr>
                <w:rFonts w:ascii="宋体" w:hAnsi="宋体"/>
                <w:spacing w:val="-24"/>
                <w:sz w:val="22"/>
                <w:szCs w:val="22"/>
              </w:rPr>
            </w:pPr>
            <w:r>
              <w:rPr>
                <w:rFonts w:hint="eastAsia" w:ascii="宋体" w:hAnsi="宋体"/>
                <w:spacing w:val="-24"/>
                <w:sz w:val="22"/>
                <w:szCs w:val="22"/>
              </w:rPr>
              <w:t>产品一次集成测试用例合格率</w:t>
            </w:r>
          </w:p>
          <w:p w14:paraId="3EC531F7">
            <w:pPr>
              <w:widowControl/>
              <w:spacing w:line="240" w:lineRule="atLeast"/>
              <w:jc w:val="center"/>
              <w:rPr>
                <w:rFonts w:ascii="宋体" w:hAnsi="宋体" w:cs="宋体"/>
                <w:color w:val="000000"/>
                <w:spacing w:val="-24"/>
                <w:sz w:val="22"/>
                <w:szCs w:val="22"/>
              </w:rPr>
            </w:pPr>
            <w:r>
              <w:rPr>
                <w:rFonts w:hint="eastAsia" w:ascii="宋体" w:hAnsi="宋体"/>
                <w:spacing w:val="-24"/>
                <w:sz w:val="22"/>
                <w:szCs w:val="22"/>
              </w:rPr>
              <w:t>≥85%</w:t>
            </w:r>
          </w:p>
        </w:tc>
        <w:tc>
          <w:tcPr>
            <w:tcW w:w="1323" w:type="dxa"/>
            <w:vAlign w:val="center"/>
          </w:tcPr>
          <w:p w14:paraId="76C27419">
            <w:pPr>
              <w:widowControl/>
              <w:spacing w:line="240" w:lineRule="atLeast"/>
              <w:jc w:val="left"/>
              <w:rPr>
                <w:rFonts w:ascii="宋体" w:hAnsi="宋体" w:cs="宋体"/>
                <w:color w:val="000000"/>
                <w:sz w:val="22"/>
                <w:szCs w:val="22"/>
              </w:rPr>
            </w:pPr>
            <w:r>
              <w:rPr>
                <w:rFonts w:hint="eastAsia" w:ascii="宋体" w:hAnsi="宋体"/>
                <w:spacing w:val="-24"/>
                <w:sz w:val="22"/>
                <w:szCs w:val="22"/>
              </w:rPr>
              <w:t>计算期内第一次集成合格测试用例累计数／计算期内第一次集成测试用例累计数</w:t>
            </w:r>
          </w:p>
        </w:tc>
      </w:tr>
      <w:tr w14:paraId="3947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26181C3">
            <w:pPr>
              <w:rPr>
                <w:rFonts w:ascii="宋体" w:hAnsi="宋体" w:cs="Times New Roman"/>
                <w:sz w:val="22"/>
                <w:szCs w:val="22"/>
              </w:rPr>
            </w:pPr>
          </w:p>
        </w:tc>
        <w:tc>
          <w:tcPr>
            <w:tcW w:w="706" w:type="dxa"/>
            <w:vMerge w:val="continue"/>
            <w:vAlign w:val="center"/>
          </w:tcPr>
          <w:p w14:paraId="69CEFFA1">
            <w:pPr>
              <w:widowControl/>
              <w:jc w:val="center"/>
              <w:rPr>
                <w:rFonts w:ascii="宋体" w:hAnsi="宋体" w:cs="宋体"/>
                <w:color w:val="000000"/>
                <w:sz w:val="22"/>
                <w:szCs w:val="22"/>
              </w:rPr>
            </w:pPr>
          </w:p>
        </w:tc>
        <w:tc>
          <w:tcPr>
            <w:tcW w:w="738" w:type="dxa"/>
            <w:vAlign w:val="center"/>
          </w:tcPr>
          <w:p w14:paraId="3352D2B5">
            <w:pPr>
              <w:widowControl/>
              <w:jc w:val="left"/>
              <w:rPr>
                <w:rFonts w:ascii="宋体" w:hAnsi="宋体" w:cs="宋体"/>
                <w:color w:val="000000"/>
                <w:sz w:val="22"/>
                <w:szCs w:val="22"/>
              </w:rPr>
            </w:pPr>
            <w:r>
              <w:rPr>
                <w:rFonts w:hint="eastAsia" w:ascii="宋体" w:hAnsi="宋体" w:cs="宋体"/>
                <w:color w:val="000000"/>
                <w:sz w:val="22"/>
                <w:szCs w:val="22"/>
              </w:rPr>
              <w:t>软件交付</w:t>
            </w:r>
          </w:p>
        </w:tc>
        <w:tc>
          <w:tcPr>
            <w:tcW w:w="3231" w:type="dxa"/>
            <w:vMerge w:val="continue"/>
            <w:vAlign w:val="center"/>
          </w:tcPr>
          <w:p w14:paraId="2AE6CEF0">
            <w:pPr>
              <w:widowControl/>
              <w:jc w:val="left"/>
              <w:rPr>
                <w:rFonts w:ascii="宋体" w:hAnsi="宋体" w:cs="宋体"/>
                <w:color w:val="000000"/>
                <w:sz w:val="22"/>
                <w:szCs w:val="22"/>
              </w:rPr>
            </w:pPr>
          </w:p>
        </w:tc>
        <w:tc>
          <w:tcPr>
            <w:tcW w:w="2977" w:type="dxa"/>
            <w:vMerge w:val="continue"/>
            <w:vAlign w:val="center"/>
          </w:tcPr>
          <w:p w14:paraId="70EF011A">
            <w:pPr>
              <w:widowControl/>
              <w:jc w:val="left"/>
              <w:rPr>
                <w:rFonts w:ascii="宋体" w:hAnsi="宋体" w:cs="宋体"/>
                <w:color w:val="000000"/>
                <w:sz w:val="22"/>
                <w:szCs w:val="22"/>
              </w:rPr>
            </w:pPr>
          </w:p>
        </w:tc>
        <w:tc>
          <w:tcPr>
            <w:tcW w:w="1455" w:type="dxa"/>
            <w:vMerge w:val="continue"/>
            <w:vAlign w:val="center"/>
          </w:tcPr>
          <w:p w14:paraId="2CE96F55">
            <w:pPr>
              <w:widowControl/>
              <w:jc w:val="left"/>
              <w:rPr>
                <w:rFonts w:ascii="宋体" w:hAnsi="宋体" w:cs="宋体"/>
                <w:color w:val="000000"/>
                <w:sz w:val="22"/>
                <w:szCs w:val="22"/>
              </w:rPr>
            </w:pPr>
          </w:p>
        </w:tc>
        <w:tc>
          <w:tcPr>
            <w:tcW w:w="954" w:type="dxa"/>
            <w:vMerge w:val="continue"/>
            <w:vAlign w:val="center"/>
          </w:tcPr>
          <w:p w14:paraId="76E07F9D">
            <w:pPr>
              <w:widowControl/>
              <w:jc w:val="center"/>
              <w:rPr>
                <w:rFonts w:ascii="宋体" w:hAnsi="宋体" w:cs="宋体"/>
                <w:color w:val="000000"/>
                <w:sz w:val="22"/>
                <w:szCs w:val="22"/>
              </w:rPr>
            </w:pPr>
          </w:p>
        </w:tc>
        <w:tc>
          <w:tcPr>
            <w:tcW w:w="992" w:type="dxa"/>
            <w:vMerge w:val="continue"/>
            <w:vAlign w:val="center"/>
          </w:tcPr>
          <w:p w14:paraId="6A3C03AB">
            <w:pPr>
              <w:widowControl/>
              <w:jc w:val="left"/>
              <w:rPr>
                <w:rFonts w:ascii="宋体" w:hAnsi="宋体" w:cs="宋体"/>
                <w:color w:val="000000"/>
                <w:sz w:val="22"/>
                <w:szCs w:val="22"/>
              </w:rPr>
            </w:pPr>
          </w:p>
        </w:tc>
        <w:tc>
          <w:tcPr>
            <w:tcW w:w="1370" w:type="dxa"/>
            <w:vAlign w:val="center"/>
          </w:tcPr>
          <w:p w14:paraId="412097F2">
            <w:pPr>
              <w:widowControl/>
              <w:jc w:val="center"/>
              <w:rPr>
                <w:rFonts w:ascii="宋体" w:hAnsi="宋体" w:cs="宋体"/>
                <w:color w:val="000000"/>
                <w:sz w:val="22"/>
                <w:szCs w:val="22"/>
              </w:rPr>
            </w:pPr>
          </w:p>
        </w:tc>
        <w:tc>
          <w:tcPr>
            <w:tcW w:w="1323" w:type="dxa"/>
            <w:vAlign w:val="center"/>
          </w:tcPr>
          <w:p w14:paraId="0E56F65C">
            <w:pPr>
              <w:widowControl/>
              <w:jc w:val="center"/>
              <w:rPr>
                <w:rFonts w:ascii="宋体" w:hAnsi="宋体" w:cs="宋体"/>
                <w:color w:val="000000"/>
                <w:sz w:val="22"/>
                <w:szCs w:val="22"/>
              </w:rPr>
            </w:pPr>
          </w:p>
        </w:tc>
      </w:tr>
      <w:tr w14:paraId="5F8E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B16216C">
            <w:pPr>
              <w:rPr>
                <w:rFonts w:ascii="宋体" w:hAnsi="宋体" w:cs="Times New Roman"/>
                <w:sz w:val="22"/>
                <w:szCs w:val="22"/>
              </w:rPr>
            </w:pPr>
          </w:p>
        </w:tc>
        <w:tc>
          <w:tcPr>
            <w:tcW w:w="706" w:type="dxa"/>
            <w:vMerge w:val="restart"/>
            <w:vAlign w:val="center"/>
          </w:tcPr>
          <w:p w14:paraId="1B83E84B">
            <w:pPr>
              <w:rPr>
                <w:rFonts w:ascii="宋体" w:hAnsi="宋体" w:cs="宋体"/>
                <w:color w:val="000000"/>
                <w:sz w:val="22"/>
                <w:szCs w:val="22"/>
              </w:rPr>
            </w:pPr>
            <w:r>
              <w:rPr>
                <w:rFonts w:hint="eastAsia" w:ascii="宋体" w:hAnsi="宋体" w:cs="宋体"/>
                <w:color w:val="000000"/>
                <w:sz w:val="22"/>
                <w:szCs w:val="22"/>
              </w:rPr>
              <w:t>外部提供的过程、产品和服务的控制</w:t>
            </w:r>
          </w:p>
        </w:tc>
        <w:tc>
          <w:tcPr>
            <w:tcW w:w="738" w:type="dxa"/>
            <w:vAlign w:val="center"/>
          </w:tcPr>
          <w:p w14:paraId="56E6B45B">
            <w:pPr>
              <w:widowControl/>
              <w:jc w:val="left"/>
              <w:rPr>
                <w:rFonts w:ascii="宋体" w:hAnsi="宋体" w:cs="宋体"/>
                <w:color w:val="000000"/>
                <w:sz w:val="22"/>
                <w:szCs w:val="22"/>
              </w:rPr>
            </w:pPr>
            <w:r>
              <w:rPr>
                <w:rFonts w:hint="eastAsia" w:ascii="宋体" w:hAnsi="宋体" w:cs="宋体"/>
                <w:color w:val="000000"/>
                <w:sz w:val="22"/>
                <w:szCs w:val="22"/>
              </w:rPr>
              <w:t>供应商管理</w:t>
            </w:r>
          </w:p>
        </w:tc>
        <w:tc>
          <w:tcPr>
            <w:tcW w:w="3231" w:type="dxa"/>
            <w:vAlign w:val="center"/>
          </w:tcPr>
          <w:p w14:paraId="21185BC9">
            <w:pPr>
              <w:widowControl/>
              <w:jc w:val="left"/>
              <w:rPr>
                <w:rFonts w:ascii="宋体" w:hAnsi="宋体" w:cs="宋体"/>
                <w:color w:val="000000"/>
                <w:sz w:val="22"/>
                <w:szCs w:val="22"/>
              </w:rPr>
            </w:pPr>
            <w:r>
              <w:rPr>
                <w:rFonts w:hint="eastAsia" w:ascii="宋体" w:hAnsi="宋体" w:cs="宋体"/>
                <w:color w:val="000000"/>
                <w:sz w:val="22"/>
                <w:szCs w:val="22"/>
              </w:rPr>
              <w:t>供应商的选择、评价和再评价准则，供应商信息，供应商交货绩效表现，顾客特殊要求</w:t>
            </w:r>
          </w:p>
        </w:tc>
        <w:tc>
          <w:tcPr>
            <w:tcW w:w="2977" w:type="dxa"/>
            <w:vAlign w:val="center"/>
          </w:tcPr>
          <w:p w14:paraId="5E457301">
            <w:pPr>
              <w:widowControl/>
              <w:jc w:val="left"/>
              <w:rPr>
                <w:rFonts w:ascii="宋体" w:hAnsi="宋体" w:cs="宋体"/>
                <w:color w:val="000000"/>
                <w:sz w:val="22"/>
                <w:szCs w:val="22"/>
              </w:rPr>
            </w:pPr>
            <w:r>
              <w:rPr>
                <w:rFonts w:hint="eastAsia" w:ascii="宋体" w:hAnsi="宋体" w:cs="宋体"/>
                <w:color w:val="000000"/>
                <w:sz w:val="22"/>
                <w:szCs w:val="22"/>
              </w:rPr>
              <w:t>合格供应商名录、供应商定期评定结果，供应商开发质量计划</w:t>
            </w:r>
          </w:p>
        </w:tc>
        <w:tc>
          <w:tcPr>
            <w:tcW w:w="1455" w:type="dxa"/>
            <w:vAlign w:val="center"/>
          </w:tcPr>
          <w:p w14:paraId="5913F9C4">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7583C69E">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59B9FAAF">
            <w:pPr>
              <w:widowControl/>
              <w:jc w:val="left"/>
              <w:rPr>
                <w:rFonts w:ascii="宋体" w:hAnsi="宋体" w:cs="宋体"/>
                <w:color w:val="000000"/>
                <w:sz w:val="22"/>
                <w:szCs w:val="22"/>
              </w:rPr>
            </w:pPr>
            <w:r>
              <w:rPr>
                <w:rFonts w:hint="eastAsia" w:ascii="宋体" w:hAnsi="宋体" w:cs="宋体"/>
                <w:color w:val="000000"/>
                <w:sz w:val="22"/>
                <w:szCs w:val="22"/>
              </w:rPr>
              <w:t>供应商评价完成率</w:t>
            </w:r>
          </w:p>
        </w:tc>
        <w:tc>
          <w:tcPr>
            <w:tcW w:w="1370" w:type="dxa"/>
            <w:vAlign w:val="center"/>
          </w:tcPr>
          <w:p w14:paraId="48CBAB6D">
            <w:pPr>
              <w:widowControl/>
              <w:jc w:val="left"/>
              <w:rPr>
                <w:rFonts w:ascii="宋体" w:hAnsi="宋体" w:cs="宋体"/>
                <w:color w:val="000000"/>
                <w:sz w:val="22"/>
                <w:szCs w:val="22"/>
              </w:rPr>
            </w:pPr>
            <w:r>
              <w:rPr>
                <w:rFonts w:hint="eastAsia" w:ascii="宋体" w:hAnsi="宋体" w:cs="宋体"/>
                <w:color w:val="000000"/>
                <w:sz w:val="22"/>
                <w:szCs w:val="22"/>
              </w:rPr>
              <w:t>供应商评价完成率≥90%</w:t>
            </w:r>
          </w:p>
        </w:tc>
        <w:tc>
          <w:tcPr>
            <w:tcW w:w="1323" w:type="dxa"/>
            <w:vAlign w:val="center"/>
          </w:tcPr>
          <w:p w14:paraId="515A87F3">
            <w:pPr>
              <w:widowControl/>
              <w:jc w:val="left"/>
              <w:rPr>
                <w:rFonts w:ascii="宋体" w:hAnsi="宋体" w:cs="宋体"/>
                <w:color w:val="000000"/>
                <w:sz w:val="22"/>
                <w:szCs w:val="22"/>
              </w:rPr>
            </w:pPr>
          </w:p>
        </w:tc>
      </w:tr>
      <w:tr w14:paraId="7E3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CB0FD7E">
            <w:pPr>
              <w:rPr>
                <w:rFonts w:ascii="宋体" w:hAnsi="宋体" w:cs="Times New Roman"/>
                <w:sz w:val="22"/>
                <w:szCs w:val="22"/>
              </w:rPr>
            </w:pPr>
          </w:p>
        </w:tc>
        <w:tc>
          <w:tcPr>
            <w:tcW w:w="706" w:type="dxa"/>
            <w:vMerge w:val="continue"/>
            <w:vAlign w:val="center"/>
          </w:tcPr>
          <w:p w14:paraId="17912921">
            <w:pPr>
              <w:rPr>
                <w:rFonts w:ascii="宋体" w:hAnsi="宋体" w:cs="宋体"/>
                <w:color w:val="000000"/>
                <w:sz w:val="22"/>
                <w:szCs w:val="22"/>
              </w:rPr>
            </w:pPr>
          </w:p>
        </w:tc>
        <w:tc>
          <w:tcPr>
            <w:tcW w:w="738" w:type="dxa"/>
            <w:vAlign w:val="center"/>
          </w:tcPr>
          <w:p w14:paraId="55322D2A">
            <w:pPr>
              <w:widowControl/>
              <w:jc w:val="left"/>
              <w:rPr>
                <w:rFonts w:ascii="宋体" w:hAnsi="宋体" w:cs="宋体"/>
                <w:color w:val="000000"/>
                <w:sz w:val="22"/>
                <w:szCs w:val="22"/>
              </w:rPr>
            </w:pPr>
            <w:r>
              <w:rPr>
                <w:rFonts w:hint="eastAsia" w:ascii="宋体" w:hAnsi="宋体" w:cs="宋体"/>
                <w:color w:val="000000"/>
                <w:sz w:val="22"/>
                <w:szCs w:val="22"/>
              </w:rPr>
              <w:t>采购过程</w:t>
            </w:r>
          </w:p>
        </w:tc>
        <w:tc>
          <w:tcPr>
            <w:tcW w:w="3231" w:type="dxa"/>
            <w:vAlign w:val="center"/>
          </w:tcPr>
          <w:p w14:paraId="74942106">
            <w:pPr>
              <w:widowControl/>
              <w:jc w:val="left"/>
              <w:rPr>
                <w:rFonts w:ascii="宋体" w:hAnsi="宋体" w:cs="宋体"/>
                <w:color w:val="000000"/>
                <w:sz w:val="22"/>
                <w:szCs w:val="22"/>
              </w:rPr>
            </w:pPr>
            <w:r>
              <w:rPr>
                <w:rFonts w:hint="eastAsia" w:ascii="宋体" w:hAnsi="宋体" w:cs="宋体"/>
                <w:color w:val="000000"/>
                <w:sz w:val="22"/>
                <w:szCs w:val="22"/>
              </w:rPr>
              <w:t>采购清单；技术协议；合格供方名录；生产计划；采购周期</w:t>
            </w:r>
          </w:p>
        </w:tc>
        <w:tc>
          <w:tcPr>
            <w:tcW w:w="2977" w:type="dxa"/>
            <w:vAlign w:val="center"/>
          </w:tcPr>
          <w:p w14:paraId="1EB3B5A7">
            <w:pPr>
              <w:widowControl/>
              <w:jc w:val="left"/>
              <w:rPr>
                <w:rFonts w:ascii="宋体" w:hAnsi="宋体" w:cs="宋体"/>
                <w:color w:val="000000"/>
                <w:sz w:val="22"/>
                <w:szCs w:val="22"/>
              </w:rPr>
            </w:pPr>
            <w:r>
              <w:rPr>
                <w:rFonts w:hint="eastAsia" w:ascii="宋体" w:hAnsi="宋体" w:cs="宋体"/>
                <w:color w:val="000000"/>
                <w:sz w:val="22"/>
                <w:szCs w:val="22"/>
              </w:rPr>
              <w:t>采购合同；及时的采购回合格的物资；</w:t>
            </w:r>
          </w:p>
        </w:tc>
        <w:tc>
          <w:tcPr>
            <w:tcW w:w="1455" w:type="dxa"/>
            <w:vAlign w:val="center"/>
          </w:tcPr>
          <w:p w14:paraId="3DA8A4E6">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电脑、协作平台、办公设施和场所、审价</w:t>
            </w:r>
          </w:p>
        </w:tc>
        <w:tc>
          <w:tcPr>
            <w:tcW w:w="954" w:type="dxa"/>
            <w:vAlign w:val="center"/>
          </w:tcPr>
          <w:p w14:paraId="256B1E71">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780D1720">
            <w:pPr>
              <w:widowControl/>
              <w:jc w:val="left"/>
              <w:rPr>
                <w:rFonts w:ascii="宋体" w:hAnsi="宋体" w:cs="宋体"/>
                <w:color w:val="000000"/>
                <w:sz w:val="22"/>
                <w:szCs w:val="22"/>
              </w:rPr>
            </w:pPr>
            <w:r>
              <w:rPr>
                <w:rFonts w:hint="eastAsia" w:ascii="宋体" w:hAnsi="宋体" w:cs="宋体"/>
                <w:color w:val="000000"/>
                <w:sz w:val="22"/>
                <w:szCs w:val="22"/>
              </w:rPr>
              <w:t>价廉物美，按时按量</w:t>
            </w:r>
          </w:p>
        </w:tc>
        <w:tc>
          <w:tcPr>
            <w:tcW w:w="1370" w:type="dxa"/>
            <w:vAlign w:val="center"/>
          </w:tcPr>
          <w:p w14:paraId="2AB828B4">
            <w:pPr>
              <w:widowControl/>
              <w:jc w:val="center"/>
              <w:rPr>
                <w:rFonts w:ascii="宋体" w:hAnsi="宋体" w:cs="宋体"/>
                <w:color w:val="000000"/>
                <w:sz w:val="22"/>
                <w:szCs w:val="22"/>
              </w:rPr>
            </w:pPr>
            <w:r>
              <w:rPr>
                <w:rFonts w:hint="eastAsia" w:ascii="宋体" w:hAnsi="宋体" w:cs="宋体"/>
                <w:color w:val="000000"/>
                <w:sz w:val="22"/>
                <w:szCs w:val="22"/>
              </w:rPr>
              <w:t>采购计划完成率≥90%</w:t>
            </w:r>
          </w:p>
        </w:tc>
        <w:tc>
          <w:tcPr>
            <w:tcW w:w="1323" w:type="dxa"/>
            <w:vAlign w:val="center"/>
          </w:tcPr>
          <w:p w14:paraId="2D2A691F">
            <w:pPr>
              <w:widowControl/>
              <w:jc w:val="center"/>
              <w:rPr>
                <w:rFonts w:ascii="宋体" w:hAnsi="宋体" w:cs="宋体"/>
                <w:color w:val="000000"/>
                <w:sz w:val="22"/>
                <w:szCs w:val="22"/>
              </w:rPr>
            </w:pPr>
          </w:p>
        </w:tc>
      </w:tr>
      <w:tr w14:paraId="6A7D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3BC01596">
            <w:pPr>
              <w:widowControl/>
              <w:jc w:val="center"/>
              <w:rPr>
                <w:rFonts w:ascii="宋体" w:hAnsi="宋体" w:cs="宋体"/>
                <w:color w:val="000000"/>
                <w:sz w:val="22"/>
                <w:szCs w:val="22"/>
              </w:rPr>
            </w:pPr>
            <w:r>
              <w:rPr>
                <w:rFonts w:hint="eastAsia" w:ascii="宋体" w:hAnsi="宋体" w:cs="宋体"/>
                <w:color w:val="000000"/>
                <w:sz w:val="22"/>
                <w:szCs w:val="22"/>
              </w:rPr>
              <w:t>顾客导向过程</w:t>
            </w:r>
          </w:p>
        </w:tc>
        <w:tc>
          <w:tcPr>
            <w:tcW w:w="706" w:type="dxa"/>
            <w:vMerge w:val="restart"/>
            <w:vAlign w:val="center"/>
          </w:tcPr>
          <w:p w14:paraId="23D9A5AE">
            <w:pPr>
              <w:widowControl/>
              <w:jc w:val="left"/>
              <w:rPr>
                <w:rFonts w:ascii="宋体" w:hAnsi="宋体" w:cs="宋体"/>
                <w:color w:val="000000"/>
                <w:sz w:val="22"/>
                <w:szCs w:val="22"/>
              </w:rPr>
            </w:pPr>
            <w:r>
              <w:rPr>
                <w:rFonts w:hint="eastAsia" w:ascii="宋体" w:hAnsi="宋体" w:cs="宋体"/>
                <w:color w:val="000000"/>
                <w:sz w:val="22"/>
                <w:szCs w:val="22"/>
              </w:rPr>
              <w:t>生产和服务提供</w:t>
            </w:r>
          </w:p>
        </w:tc>
        <w:tc>
          <w:tcPr>
            <w:tcW w:w="738" w:type="dxa"/>
            <w:vAlign w:val="center"/>
          </w:tcPr>
          <w:p w14:paraId="0DD91E2E">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3231" w:type="dxa"/>
            <w:vAlign w:val="center"/>
          </w:tcPr>
          <w:p w14:paraId="2AE2E4A4">
            <w:pPr>
              <w:widowControl/>
              <w:jc w:val="left"/>
              <w:rPr>
                <w:rFonts w:ascii="宋体" w:hAnsi="宋体" w:cs="宋体"/>
                <w:color w:val="000000"/>
                <w:sz w:val="22"/>
                <w:szCs w:val="22"/>
              </w:rPr>
            </w:pPr>
            <w:r>
              <w:rPr>
                <w:rFonts w:hint="eastAsia" w:ascii="宋体" w:hAnsi="宋体" w:cs="宋体"/>
                <w:color w:val="000000"/>
                <w:sz w:val="22"/>
                <w:szCs w:val="22"/>
              </w:rPr>
              <w:t>《派工单》、生产计划</w:t>
            </w:r>
          </w:p>
        </w:tc>
        <w:tc>
          <w:tcPr>
            <w:tcW w:w="2977" w:type="dxa"/>
            <w:vAlign w:val="center"/>
          </w:tcPr>
          <w:p w14:paraId="4BBE1E3F">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1455" w:type="dxa"/>
            <w:vAlign w:val="center"/>
          </w:tcPr>
          <w:p w14:paraId="7D7EDC76">
            <w:pPr>
              <w:widowControl/>
              <w:jc w:val="left"/>
              <w:rPr>
                <w:rFonts w:ascii="宋体" w:hAnsi="宋体" w:cs="宋体"/>
                <w:color w:val="000000"/>
                <w:sz w:val="22"/>
                <w:szCs w:val="22"/>
              </w:rPr>
            </w:pPr>
            <w:r>
              <w:rPr>
                <w:rFonts w:hint="eastAsia" w:ascii="宋体" w:hAnsi="宋体" w:cs="宋体"/>
                <w:color w:val="000000"/>
                <w:sz w:val="22"/>
                <w:szCs w:val="22"/>
              </w:rPr>
              <w:t>电脑、办公软件和办公场所、相关设备、人员</w:t>
            </w:r>
          </w:p>
        </w:tc>
        <w:tc>
          <w:tcPr>
            <w:tcW w:w="954" w:type="dxa"/>
            <w:vAlign w:val="center"/>
          </w:tcPr>
          <w:p w14:paraId="34A99B7E">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02ACA336">
            <w:pPr>
              <w:widowControl/>
              <w:jc w:val="left"/>
              <w:rPr>
                <w:rFonts w:ascii="宋体" w:hAnsi="宋体" w:cs="宋体"/>
                <w:color w:val="000000"/>
                <w:sz w:val="22"/>
                <w:szCs w:val="22"/>
              </w:rPr>
            </w:pPr>
            <w:r>
              <w:rPr>
                <w:rFonts w:hint="eastAsia" w:ascii="宋体" w:hAnsi="宋体" w:cs="宋体"/>
                <w:color w:val="000000"/>
                <w:sz w:val="22"/>
                <w:szCs w:val="22"/>
              </w:rPr>
              <w:t>准时交付</w:t>
            </w:r>
          </w:p>
        </w:tc>
        <w:tc>
          <w:tcPr>
            <w:tcW w:w="1370" w:type="dxa"/>
            <w:vAlign w:val="center"/>
          </w:tcPr>
          <w:p w14:paraId="277A5833">
            <w:pPr>
              <w:widowControl/>
              <w:jc w:val="center"/>
              <w:rPr>
                <w:rFonts w:ascii="宋体" w:hAnsi="宋体" w:cs="宋体"/>
                <w:color w:val="000000"/>
                <w:sz w:val="22"/>
                <w:szCs w:val="22"/>
              </w:rPr>
            </w:pPr>
            <w:r>
              <w:rPr>
                <w:rFonts w:hint="eastAsia" w:ascii="宋体" w:hAnsi="宋体" w:cs="宋体"/>
                <w:color w:val="000000"/>
                <w:sz w:val="22"/>
                <w:szCs w:val="22"/>
              </w:rPr>
              <w:t>生产计划完成率90%</w:t>
            </w:r>
          </w:p>
        </w:tc>
        <w:tc>
          <w:tcPr>
            <w:tcW w:w="1323" w:type="dxa"/>
            <w:vAlign w:val="center"/>
          </w:tcPr>
          <w:p w14:paraId="192210B5">
            <w:pPr>
              <w:widowControl/>
              <w:jc w:val="center"/>
              <w:rPr>
                <w:rFonts w:ascii="宋体" w:hAnsi="宋体" w:cs="宋体"/>
                <w:color w:val="000000"/>
                <w:sz w:val="22"/>
                <w:szCs w:val="22"/>
              </w:rPr>
            </w:pPr>
            <w:r>
              <w:rPr>
                <w:rFonts w:hint="eastAsia" w:ascii="宋体" w:hAnsi="宋体" w:cs="宋体"/>
                <w:color w:val="000000"/>
                <w:sz w:val="22"/>
                <w:szCs w:val="22"/>
              </w:rPr>
              <w:t>每月进行统计（每月生产计划完成率=按时完成交付项目/月计划交付项目x100%）</w:t>
            </w:r>
          </w:p>
        </w:tc>
      </w:tr>
      <w:tr w14:paraId="214A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6B5CE1BC">
            <w:pPr>
              <w:widowControl/>
              <w:jc w:val="center"/>
              <w:rPr>
                <w:rFonts w:ascii="宋体" w:hAnsi="宋体" w:cs="宋体"/>
                <w:color w:val="000000"/>
                <w:sz w:val="22"/>
                <w:szCs w:val="22"/>
              </w:rPr>
            </w:pPr>
          </w:p>
        </w:tc>
        <w:tc>
          <w:tcPr>
            <w:tcW w:w="706" w:type="dxa"/>
            <w:vMerge w:val="continue"/>
            <w:vAlign w:val="center"/>
          </w:tcPr>
          <w:p w14:paraId="1AA7F9B8">
            <w:pPr>
              <w:widowControl/>
              <w:jc w:val="left"/>
              <w:rPr>
                <w:rFonts w:ascii="宋体" w:hAnsi="宋体" w:cs="宋体"/>
                <w:color w:val="000000"/>
                <w:sz w:val="22"/>
                <w:szCs w:val="22"/>
              </w:rPr>
            </w:pPr>
          </w:p>
        </w:tc>
        <w:tc>
          <w:tcPr>
            <w:tcW w:w="738" w:type="dxa"/>
            <w:vAlign w:val="center"/>
          </w:tcPr>
          <w:p w14:paraId="37098B3C">
            <w:pPr>
              <w:widowControl/>
              <w:jc w:val="left"/>
              <w:rPr>
                <w:rFonts w:ascii="宋体" w:hAnsi="宋体" w:cs="宋体"/>
                <w:color w:val="000000"/>
                <w:sz w:val="22"/>
                <w:szCs w:val="22"/>
              </w:rPr>
            </w:pPr>
            <w:r>
              <w:rPr>
                <w:rFonts w:hint="eastAsia" w:ascii="宋体" w:hAnsi="宋体" w:cs="宋体"/>
                <w:color w:val="000000"/>
                <w:sz w:val="22"/>
                <w:szCs w:val="22"/>
              </w:rPr>
              <w:t>产品制造</w:t>
            </w:r>
          </w:p>
        </w:tc>
        <w:tc>
          <w:tcPr>
            <w:tcW w:w="3231" w:type="dxa"/>
            <w:vAlign w:val="center"/>
          </w:tcPr>
          <w:p w14:paraId="64D04165">
            <w:pPr>
              <w:widowControl/>
              <w:jc w:val="left"/>
              <w:rPr>
                <w:rFonts w:ascii="宋体" w:hAnsi="宋体" w:cs="宋体"/>
                <w:color w:val="000000"/>
                <w:sz w:val="22"/>
                <w:szCs w:val="22"/>
              </w:rPr>
            </w:pPr>
            <w:r>
              <w:rPr>
                <w:rFonts w:hint="eastAsia" w:ascii="宋体" w:hAnsi="宋体" w:cs="宋体"/>
                <w:color w:val="000000"/>
                <w:sz w:val="22"/>
                <w:szCs w:val="22"/>
              </w:rPr>
              <w:t>《生产计划》</w:t>
            </w:r>
          </w:p>
        </w:tc>
        <w:tc>
          <w:tcPr>
            <w:tcW w:w="2977" w:type="dxa"/>
            <w:vAlign w:val="center"/>
          </w:tcPr>
          <w:p w14:paraId="6BC4C522">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满足客户要求的产品和服务，相关记录</w:t>
            </w:r>
          </w:p>
        </w:tc>
        <w:tc>
          <w:tcPr>
            <w:tcW w:w="1455" w:type="dxa"/>
            <w:vAlign w:val="center"/>
          </w:tcPr>
          <w:p w14:paraId="394103CC">
            <w:pPr>
              <w:widowControl/>
              <w:jc w:val="left"/>
              <w:rPr>
                <w:rFonts w:ascii="宋体" w:hAnsi="宋体" w:cs="宋体"/>
                <w:color w:val="000000"/>
                <w:sz w:val="22"/>
                <w:szCs w:val="22"/>
              </w:rPr>
            </w:pPr>
            <w:r>
              <w:rPr>
                <w:rFonts w:hint="eastAsia" w:ascii="宋体" w:hAnsi="宋体" w:cs="宋体"/>
                <w:color w:val="000000"/>
                <w:sz w:val="22"/>
                <w:szCs w:val="22"/>
              </w:rPr>
              <w:t>办公场所、设备、操作员工、电、水、气</w:t>
            </w:r>
          </w:p>
        </w:tc>
        <w:tc>
          <w:tcPr>
            <w:tcW w:w="954" w:type="dxa"/>
            <w:vAlign w:val="center"/>
          </w:tcPr>
          <w:p w14:paraId="10309A0E">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663F3A32">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6ED518FA">
            <w:pPr>
              <w:widowControl/>
              <w:jc w:val="center"/>
              <w:rPr>
                <w:rFonts w:ascii="宋体" w:hAnsi="宋体" w:cs="宋体"/>
                <w:color w:val="000000"/>
                <w:sz w:val="22"/>
                <w:szCs w:val="22"/>
              </w:rPr>
            </w:pPr>
            <w:r>
              <w:rPr>
                <w:rFonts w:hint="eastAsia" w:ascii="宋体" w:hAnsi="宋体" w:cs="宋体"/>
                <w:color w:val="000000"/>
                <w:sz w:val="22"/>
                <w:szCs w:val="22"/>
              </w:rPr>
              <w:t>生产任务完成率≥90%</w:t>
            </w:r>
          </w:p>
          <w:p w14:paraId="69C59DAF">
            <w:pPr>
              <w:widowControl/>
              <w:jc w:val="center"/>
              <w:rPr>
                <w:rFonts w:ascii="宋体" w:hAnsi="宋体" w:cs="宋体"/>
                <w:color w:val="000000"/>
                <w:sz w:val="22"/>
                <w:szCs w:val="22"/>
              </w:rPr>
            </w:pPr>
            <w:r>
              <w:rPr>
                <w:rFonts w:hint="eastAsia" w:ascii="宋体" w:hAnsi="宋体" w:cs="宋体"/>
                <w:color w:val="000000"/>
                <w:sz w:val="22"/>
                <w:szCs w:val="22"/>
              </w:rPr>
              <w:t>交验合格率≥90%</w:t>
            </w:r>
          </w:p>
        </w:tc>
        <w:tc>
          <w:tcPr>
            <w:tcW w:w="1323" w:type="dxa"/>
            <w:vAlign w:val="center"/>
          </w:tcPr>
          <w:p w14:paraId="603C366F">
            <w:pPr>
              <w:widowControl/>
              <w:jc w:val="center"/>
              <w:rPr>
                <w:rFonts w:ascii="宋体" w:hAnsi="宋体" w:cs="宋体"/>
                <w:color w:val="000000"/>
                <w:sz w:val="22"/>
                <w:szCs w:val="22"/>
              </w:rPr>
            </w:pPr>
            <w:r>
              <w:rPr>
                <w:rFonts w:hint="eastAsia" w:ascii="宋体" w:hAnsi="宋体" w:cs="宋体"/>
                <w:color w:val="000000"/>
                <w:sz w:val="22"/>
                <w:szCs w:val="22"/>
              </w:rPr>
              <w:t>每月进行统计生产交验合格率=生产送检合格批次数/送检总批次数</w:t>
            </w:r>
          </w:p>
        </w:tc>
      </w:tr>
      <w:tr w14:paraId="1EE2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039B923">
            <w:pPr>
              <w:widowControl/>
              <w:jc w:val="center"/>
              <w:rPr>
                <w:rFonts w:ascii="宋体" w:hAnsi="宋体" w:cs="宋体"/>
                <w:color w:val="000000"/>
                <w:sz w:val="22"/>
                <w:szCs w:val="22"/>
              </w:rPr>
            </w:pPr>
          </w:p>
        </w:tc>
        <w:tc>
          <w:tcPr>
            <w:tcW w:w="706" w:type="dxa"/>
            <w:vMerge w:val="continue"/>
            <w:vAlign w:val="center"/>
          </w:tcPr>
          <w:p w14:paraId="32CED7BD">
            <w:pPr>
              <w:widowControl/>
              <w:jc w:val="left"/>
              <w:rPr>
                <w:rFonts w:ascii="宋体" w:hAnsi="宋体" w:cs="宋体"/>
                <w:color w:val="000000"/>
                <w:sz w:val="22"/>
                <w:szCs w:val="22"/>
              </w:rPr>
            </w:pPr>
          </w:p>
        </w:tc>
        <w:tc>
          <w:tcPr>
            <w:tcW w:w="738" w:type="dxa"/>
            <w:vAlign w:val="center"/>
          </w:tcPr>
          <w:p w14:paraId="004B9E24">
            <w:pPr>
              <w:widowControl/>
              <w:jc w:val="left"/>
              <w:rPr>
                <w:rFonts w:ascii="宋体" w:hAnsi="宋体" w:cs="宋体"/>
                <w:color w:val="000000"/>
                <w:sz w:val="22"/>
                <w:szCs w:val="22"/>
              </w:rPr>
            </w:pPr>
            <w:r>
              <w:rPr>
                <w:rFonts w:hint="eastAsia" w:ascii="宋体" w:hAnsi="宋体" w:cs="宋体"/>
                <w:color w:val="000000"/>
                <w:sz w:val="22"/>
                <w:szCs w:val="22"/>
              </w:rPr>
              <w:t>产品标识和可追溯性管理</w:t>
            </w:r>
          </w:p>
        </w:tc>
        <w:tc>
          <w:tcPr>
            <w:tcW w:w="3231" w:type="dxa"/>
            <w:vAlign w:val="center"/>
          </w:tcPr>
          <w:p w14:paraId="39863866">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2977" w:type="dxa"/>
            <w:vAlign w:val="center"/>
          </w:tcPr>
          <w:p w14:paraId="7B9D02E8">
            <w:pPr>
              <w:widowControl/>
              <w:jc w:val="left"/>
              <w:rPr>
                <w:rFonts w:ascii="宋体" w:hAnsi="宋体" w:cs="宋体"/>
                <w:color w:val="000000"/>
                <w:sz w:val="22"/>
                <w:szCs w:val="22"/>
              </w:rPr>
            </w:pPr>
            <w:r>
              <w:rPr>
                <w:rFonts w:hint="eastAsia" w:ascii="宋体" w:hAnsi="宋体" w:cs="宋体"/>
                <w:color w:val="000000"/>
                <w:sz w:val="22"/>
                <w:szCs w:val="22"/>
              </w:rPr>
              <w:t>产品标识要求，产品种类、状态、批次号、生产流水号</w:t>
            </w:r>
          </w:p>
        </w:tc>
        <w:tc>
          <w:tcPr>
            <w:tcW w:w="1455" w:type="dxa"/>
            <w:vAlign w:val="center"/>
          </w:tcPr>
          <w:p w14:paraId="6BBCB713">
            <w:pPr>
              <w:widowControl/>
              <w:jc w:val="left"/>
              <w:rPr>
                <w:rFonts w:ascii="宋体" w:hAnsi="宋体" w:cs="宋体"/>
                <w:color w:val="000000"/>
                <w:sz w:val="22"/>
                <w:szCs w:val="22"/>
              </w:rPr>
            </w:pPr>
            <w:r>
              <w:rPr>
                <w:rFonts w:hint="eastAsia" w:ascii="宋体" w:hAnsi="宋体" w:cs="宋体"/>
                <w:color w:val="000000"/>
                <w:sz w:val="22"/>
                <w:szCs w:val="22"/>
              </w:rPr>
              <w:t>区域划分标识，各过程中不同产品的状态标识</w:t>
            </w:r>
          </w:p>
        </w:tc>
        <w:tc>
          <w:tcPr>
            <w:tcW w:w="954" w:type="dxa"/>
            <w:vAlign w:val="center"/>
          </w:tcPr>
          <w:p w14:paraId="1071855A">
            <w:pPr>
              <w:widowControl/>
              <w:jc w:val="left"/>
              <w:rPr>
                <w:rFonts w:ascii="宋体" w:hAnsi="宋体" w:cs="宋体"/>
                <w:color w:val="000000"/>
                <w:sz w:val="22"/>
                <w:szCs w:val="22"/>
              </w:rPr>
            </w:pPr>
            <w:r>
              <w:rPr>
                <w:rFonts w:hint="eastAsia" w:ascii="宋体" w:hAnsi="宋体" w:cs="宋体"/>
                <w:color w:val="000000"/>
                <w:sz w:val="22"/>
                <w:szCs w:val="22"/>
              </w:rPr>
              <w:t>电脑、标贴、铭牌、区域标识、场所设施</w:t>
            </w:r>
          </w:p>
        </w:tc>
        <w:tc>
          <w:tcPr>
            <w:tcW w:w="992" w:type="dxa"/>
            <w:vAlign w:val="center"/>
          </w:tcPr>
          <w:p w14:paraId="41E04070">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31A8589D">
            <w:pPr>
              <w:widowControl/>
              <w:jc w:val="center"/>
              <w:rPr>
                <w:rFonts w:ascii="宋体" w:hAnsi="宋体" w:cs="宋体"/>
                <w:color w:val="000000"/>
                <w:sz w:val="22"/>
                <w:szCs w:val="22"/>
              </w:rPr>
            </w:pPr>
            <w:r>
              <w:rPr>
                <w:rFonts w:hint="eastAsia" w:ascii="宋体" w:hAnsi="宋体" w:cs="宋体"/>
                <w:color w:val="000000"/>
                <w:sz w:val="22"/>
                <w:szCs w:val="22"/>
              </w:rPr>
              <w:t>生产运维部</w:t>
            </w:r>
          </w:p>
          <w:p w14:paraId="2365EF10">
            <w:pPr>
              <w:widowControl/>
              <w:jc w:val="center"/>
              <w:rPr>
                <w:rFonts w:ascii="宋体" w:hAnsi="宋体" w:cs="宋体"/>
                <w:color w:val="000000"/>
                <w:sz w:val="22"/>
                <w:szCs w:val="22"/>
              </w:rPr>
            </w:pPr>
          </w:p>
        </w:tc>
        <w:tc>
          <w:tcPr>
            <w:tcW w:w="1370" w:type="dxa"/>
            <w:vAlign w:val="center"/>
          </w:tcPr>
          <w:p w14:paraId="78D93242">
            <w:pPr>
              <w:widowControl/>
              <w:jc w:val="left"/>
              <w:rPr>
                <w:rFonts w:ascii="宋体" w:hAnsi="宋体" w:cs="宋体"/>
                <w:color w:val="000000"/>
                <w:sz w:val="22"/>
                <w:szCs w:val="22"/>
              </w:rPr>
            </w:pPr>
            <w:r>
              <w:rPr>
                <w:rFonts w:hint="eastAsia" w:ascii="宋体" w:hAnsi="宋体" w:cs="宋体"/>
                <w:color w:val="000000"/>
                <w:sz w:val="22"/>
                <w:szCs w:val="22"/>
              </w:rPr>
              <w:t>现场检查</w:t>
            </w:r>
          </w:p>
        </w:tc>
        <w:tc>
          <w:tcPr>
            <w:tcW w:w="1323" w:type="dxa"/>
            <w:vAlign w:val="center"/>
          </w:tcPr>
          <w:p w14:paraId="13DCA0B1">
            <w:pPr>
              <w:widowControl/>
              <w:jc w:val="center"/>
              <w:rPr>
                <w:rFonts w:ascii="宋体" w:hAnsi="宋体" w:cs="宋体"/>
                <w:color w:val="000000"/>
                <w:sz w:val="22"/>
                <w:szCs w:val="22"/>
              </w:rPr>
            </w:pPr>
          </w:p>
        </w:tc>
      </w:tr>
      <w:tr w14:paraId="6007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857780C">
            <w:pPr>
              <w:widowControl/>
              <w:jc w:val="center"/>
              <w:rPr>
                <w:rFonts w:ascii="宋体" w:hAnsi="宋体" w:cs="宋体"/>
                <w:color w:val="000000"/>
                <w:sz w:val="22"/>
                <w:szCs w:val="22"/>
              </w:rPr>
            </w:pPr>
          </w:p>
        </w:tc>
        <w:tc>
          <w:tcPr>
            <w:tcW w:w="706" w:type="dxa"/>
            <w:vMerge w:val="continue"/>
            <w:vAlign w:val="center"/>
          </w:tcPr>
          <w:p w14:paraId="68FE391C">
            <w:pPr>
              <w:widowControl/>
              <w:jc w:val="left"/>
              <w:rPr>
                <w:rFonts w:ascii="宋体" w:hAnsi="宋体" w:cs="宋体"/>
                <w:color w:val="000000"/>
                <w:sz w:val="22"/>
                <w:szCs w:val="22"/>
              </w:rPr>
            </w:pPr>
          </w:p>
        </w:tc>
        <w:tc>
          <w:tcPr>
            <w:tcW w:w="738" w:type="dxa"/>
            <w:vAlign w:val="center"/>
          </w:tcPr>
          <w:p w14:paraId="5060D4CA">
            <w:pPr>
              <w:widowControl/>
              <w:jc w:val="left"/>
              <w:rPr>
                <w:rFonts w:ascii="宋体" w:hAnsi="宋体" w:cs="宋体"/>
                <w:color w:val="000000"/>
                <w:sz w:val="22"/>
                <w:szCs w:val="22"/>
              </w:rPr>
            </w:pPr>
            <w:r>
              <w:rPr>
                <w:rFonts w:hint="eastAsia" w:ascii="宋体" w:hAnsi="宋体" w:cs="宋体"/>
                <w:color w:val="000000"/>
                <w:sz w:val="22"/>
                <w:szCs w:val="22"/>
              </w:rPr>
              <w:t>产品防护过程</w:t>
            </w:r>
          </w:p>
        </w:tc>
        <w:tc>
          <w:tcPr>
            <w:tcW w:w="3231" w:type="dxa"/>
            <w:vAlign w:val="center"/>
          </w:tcPr>
          <w:p w14:paraId="1A669283">
            <w:pPr>
              <w:widowControl/>
              <w:jc w:val="left"/>
              <w:rPr>
                <w:rFonts w:ascii="宋体" w:hAnsi="宋体" w:cs="宋体"/>
                <w:color w:val="000000"/>
                <w:sz w:val="22"/>
                <w:szCs w:val="22"/>
              </w:rPr>
            </w:pPr>
            <w:r>
              <w:rPr>
                <w:rFonts w:hint="eastAsia" w:ascii="宋体" w:hAnsi="宋体" w:cs="宋体"/>
                <w:color w:val="000000"/>
                <w:sz w:val="22"/>
                <w:szCs w:val="22"/>
              </w:rPr>
              <w:t>产品标识要求，物资贮存要求，顾客要求，工作环境要求，现场的清洁状况</w:t>
            </w:r>
          </w:p>
        </w:tc>
        <w:tc>
          <w:tcPr>
            <w:tcW w:w="2977" w:type="dxa"/>
            <w:vAlign w:val="center"/>
          </w:tcPr>
          <w:p w14:paraId="565B01E8">
            <w:pPr>
              <w:widowControl/>
              <w:jc w:val="left"/>
              <w:rPr>
                <w:rFonts w:ascii="宋体" w:hAnsi="宋体" w:cs="宋体"/>
                <w:color w:val="000000"/>
                <w:sz w:val="22"/>
                <w:szCs w:val="22"/>
              </w:rPr>
            </w:pPr>
            <w:r>
              <w:rPr>
                <w:rFonts w:hint="eastAsia" w:ascii="宋体" w:hAnsi="宋体" w:cs="宋体"/>
                <w:color w:val="000000"/>
                <w:sz w:val="22"/>
                <w:szCs w:val="22"/>
              </w:rPr>
              <w:t xml:space="preserve">标识卡，物料进出记录、安全库存量。 </w:t>
            </w:r>
          </w:p>
        </w:tc>
        <w:tc>
          <w:tcPr>
            <w:tcW w:w="1455" w:type="dxa"/>
            <w:vAlign w:val="center"/>
          </w:tcPr>
          <w:p w14:paraId="09B66820">
            <w:pPr>
              <w:widowControl/>
              <w:jc w:val="left"/>
              <w:rPr>
                <w:rFonts w:ascii="宋体" w:hAnsi="宋体" w:cs="宋体"/>
                <w:color w:val="000000"/>
                <w:sz w:val="22"/>
                <w:szCs w:val="22"/>
              </w:rPr>
            </w:pPr>
            <w:r>
              <w:rPr>
                <w:rFonts w:hint="eastAsia" w:ascii="宋体" w:hAnsi="宋体" w:cs="宋体"/>
                <w:color w:val="000000"/>
                <w:sz w:val="22"/>
                <w:szCs w:val="22"/>
              </w:rPr>
              <w:t>搬运器具、工具</w:t>
            </w:r>
          </w:p>
        </w:tc>
        <w:tc>
          <w:tcPr>
            <w:tcW w:w="954" w:type="dxa"/>
            <w:vAlign w:val="center"/>
          </w:tcPr>
          <w:p w14:paraId="2C05CF7A">
            <w:pPr>
              <w:widowControl/>
              <w:jc w:val="center"/>
              <w:rPr>
                <w:rFonts w:ascii="宋体" w:hAnsi="宋体" w:cs="宋体"/>
                <w:color w:val="000000"/>
                <w:sz w:val="22"/>
                <w:szCs w:val="22"/>
              </w:rPr>
            </w:pPr>
            <w:r>
              <w:rPr>
                <w:rFonts w:hint="eastAsia" w:ascii="宋体" w:hAnsi="宋体" w:cs="宋体"/>
                <w:color w:val="000000"/>
                <w:sz w:val="22"/>
                <w:szCs w:val="22"/>
              </w:rPr>
              <w:t>生产运维部</w:t>
            </w:r>
          </w:p>
        </w:tc>
        <w:tc>
          <w:tcPr>
            <w:tcW w:w="992" w:type="dxa"/>
            <w:vAlign w:val="center"/>
          </w:tcPr>
          <w:p w14:paraId="5FD84598">
            <w:pPr>
              <w:widowControl/>
              <w:jc w:val="left"/>
              <w:rPr>
                <w:rFonts w:ascii="宋体" w:hAnsi="宋体" w:cs="宋体"/>
                <w:color w:val="000000"/>
                <w:sz w:val="22"/>
                <w:szCs w:val="22"/>
              </w:rPr>
            </w:pPr>
            <w:r>
              <w:rPr>
                <w:rFonts w:hint="eastAsia" w:ascii="宋体" w:hAnsi="宋体" w:cs="宋体"/>
                <w:color w:val="000000"/>
                <w:sz w:val="22"/>
                <w:szCs w:val="22"/>
              </w:rPr>
              <w:t>整洁，达到理想效果</w:t>
            </w:r>
          </w:p>
        </w:tc>
        <w:tc>
          <w:tcPr>
            <w:tcW w:w="1370" w:type="dxa"/>
            <w:vAlign w:val="center"/>
          </w:tcPr>
          <w:p w14:paraId="2A255CB6">
            <w:pPr>
              <w:widowControl/>
              <w:jc w:val="center"/>
              <w:rPr>
                <w:rFonts w:ascii="宋体" w:hAnsi="宋体" w:cs="宋体"/>
                <w:color w:val="000000"/>
                <w:sz w:val="22"/>
                <w:szCs w:val="22"/>
              </w:rPr>
            </w:pPr>
            <w:r>
              <w:rPr>
                <w:rFonts w:hint="eastAsia" w:ascii="宋体" w:hAnsi="宋体" w:cs="宋体"/>
                <w:color w:val="000000"/>
                <w:sz w:val="22"/>
                <w:szCs w:val="22"/>
              </w:rPr>
              <w:t>帐物卡一致</w:t>
            </w:r>
          </w:p>
        </w:tc>
        <w:tc>
          <w:tcPr>
            <w:tcW w:w="1323" w:type="dxa"/>
            <w:vAlign w:val="center"/>
          </w:tcPr>
          <w:p w14:paraId="7DA8F637">
            <w:pPr>
              <w:widowControl/>
              <w:jc w:val="center"/>
              <w:rPr>
                <w:rFonts w:ascii="宋体" w:hAnsi="宋体" w:cs="宋体"/>
                <w:color w:val="000000"/>
                <w:sz w:val="22"/>
                <w:szCs w:val="22"/>
              </w:rPr>
            </w:pPr>
            <w:r>
              <w:rPr>
                <w:rFonts w:hint="eastAsia" w:ascii="宋体" w:hAnsi="宋体" w:cs="宋体"/>
                <w:color w:val="000000"/>
                <w:sz w:val="22"/>
                <w:szCs w:val="22"/>
              </w:rPr>
              <w:t>物资台账、实物、物资卡片均一致</w:t>
            </w:r>
          </w:p>
        </w:tc>
      </w:tr>
      <w:tr w14:paraId="2BB0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19051399">
            <w:pPr>
              <w:widowControl/>
              <w:jc w:val="center"/>
              <w:rPr>
                <w:rFonts w:ascii="宋体" w:hAnsi="宋体" w:cs="宋体"/>
                <w:color w:val="000000"/>
                <w:sz w:val="22"/>
                <w:szCs w:val="22"/>
              </w:rPr>
            </w:pPr>
          </w:p>
        </w:tc>
        <w:tc>
          <w:tcPr>
            <w:tcW w:w="706" w:type="dxa"/>
            <w:vAlign w:val="center"/>
          </w:tcPr>
          <w:p w14:paraId="0BFC7FDF">
            <w:pPr>
              <w:widowControl/>
              <w:jc w:val="left"/>
              <w:rPr>
                <w:rFonts w:ascii="宋体" w:hAnsi="宋体" w:cs="宋体"/>
                <w:color w:val="000000"/>
                <w:sz w:val="22"/>
                <w:szCs w:val="22"/>
              </w:rPr>
            </w:pPr>
            <w:r>
              <w:rPr>
                <w:rFonts w:hint="eastAsia" w:ascii="宋体" w:hAnsi="宋体" w:cs="宋体"/>
                <w:color w:val="000000"/>
                <w:sz w:val="22"/>
                <w:szCs w:val="22"/>
              </w:rPr>
              <w:t>产品和服务放行（产品监视和测量过程）</w:t>
            </w:r>
          </w:p>
        </w:tc>
        <w:tc>
          <w:tcPr>
            <w:tcW w:w="738" w:type="dxa"/>
            <w:vAlign w:val="center"/>
          </w:tcPr>
          <w:p w14:paraId="04E3F539">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73E1E9A5">
            <w:pPr>
              <w:widowControl/>
              <w:jc w:val="left"/>
              <w:rPr>
                <w:rFonts w:ascii="宋体" w:hAnsi="宋体" w:cs="宋体"/>
                <w:color w:val="000000"/>
                <w:sz w:val="22"/>
                <w:szCs w:val="22"/>
              </w:rPr>
            </w:pPr>
            <w:r>
              <w:rPr>
                <w:rFonts w:hint="eastAsia" w:ascii="宋体" w:hAnsi="宋体" w:cs="宋体"/>
                <w:color w:val="000000"/>
                <w:sz w:val="22"/>
                <w:szCs w:val="22"/>
              </w:rPr>
              <w:t>满足客户要求的产品和服务，试验大纲、检验标准等文件，相关记录表格</w:t>
            </w:r>
          </w:p>
        </w:tc>
        <w:tc>
          <w:tcPr>
            <w:tcW w:w="2977" w:type="dxa"/>
            <w:vAlign w:val="center"/>
          </w:tcPr>
          <w:p w14:paraId="5EC6AC5F">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完成检验符合订单要求的合格产品；提供相关检验记录；《入库单》</w:t>
            </w:r>
          </w:p>
        </w:tc>
        <w:tc>
          <w:tcPr>
            <w:tcW w:w="1455" w:type="dxa"/>
            <w:vAlign w:val="center"/>
          </w:tcPr>
          <w:p w14:paraId="4A3CBE6C">
            <w:pPr>
              <w:widowControl/>
              <w:jc w:val="left"/>
              <w:rPr>
                <w:rFonts w:ascii="宋体" w:hAnsi="宋体" w:cs="宋体"/>
                <w:color w:val="000000"/>
                <w:sz w:val="22"/>
                <w:szCs w:val="22"/>
              </w:rPr>
            </w:pPr>
            <w:r>
              <w:rPr>
                <w:rFonts w:hint="eastAsia" w:ascii="宋体" w:hAnsi="宋体" w:cs="宋体"/>
                <w:color w:val="000000"/>
                <w:sz w:val="22"/>
                <w:szCs w:val="22"/>
              </w:rPr>
              <w:t>监测设备、人员、监测标准规范等</w:t>
            </w:r>
          </w:p>
        </w:tc>
        <w:tc>
          <w:tcPr>
            <w:tcW w:w="954" w:type="dxa"/>
            <w:vAlign w:val="center"/>
          </w:tcPr>
          <w:p w14:paraId="5647334D">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7D5C21C8">
            <w:pPr>
              <w:widowControl/>
              <w:jc w:val="center"/>
              <w:rPr>
                <w:rFonts w:ascii="宋体" w:hAnsi="宋体" w:cs="宋体"/>
                <w:color w:val="000000"/>
                <w:sz w:val="22"/>
                <w:szCs w:val="22"/>
              </w:rPr>
            </w:pPr>
          </w:p>
        </w:tc>
        <w:tc>
          <w:tcPr>
            <w:tcW w:w="992" w:type="dxa"/>
            <w:vAlign w:val="center"/>
          </w:tcPr>
          <w:p w14:paraId="13DC5AF7">
            <w:pPr>
              <w:widowControl/>
              <w:jc w:val="left"/>
              <w:rPr>
                <w:rFonts w:ascii="宋体" w:hAnsi="宋体" w:cs="宋体"/>
                <w:color w:val="000000"/>
                <w:sz w:val="22"/>
                <w:szCs w:val="22"/>
              </w:rPr>
            </w:pPr>
            <w:r>
              <w:rPr>
                <w:rFonts w:hint="eastAsia" w:ascii="宋体" w:hAnsi="宋体" w:cs="宋体"/>
                <w:color w:val="000000"/>
                <w:sz w:val="22"/>
                <w:szCs w:val="22"/>
              </w:rPr>
              <w:t>及时为下道工序提供合格资源；提供合格的产品和服务</w:t>
            </w:r>
          </w:p>
        </w:tc>
        <w:tc>
          <w:tcPr>
            <w:tcW w:w="1370" w:type="dxa"/>
            <w:vAlign w:val="center"/>
          </w:tcPr>
          <w:p w14:paraId="0B1E05B2">
            <w:pPr>
              <w:widowControl/>
              <w:jc w:val="center"/>
              <w:rPr>
                <w:rFonts w:ascii="宋体" w:hAnsi="宋体" w:cs="宋体"/>
                <w:color w:val="000000"/>
                <w:sz w:val="22"/>
                <w:szCs w:val="22"/>
              </w:rPr>
            </w:pPr>
            <w:r>
              <w:rPr>
                <w:rFonts w:hint="eastAsia" w:ascii="宋体" w:hAnsi="宋体" w:cs="宋体"/>
                <w:color w:val="000000"/>
                <w:sz w:val="22"/>
                <w:szCs w:val="22"/>
              </w:rPr>
              <w:t>错、漏检率≤2%；</w:t>
            </w:r>
          </w:p>
          <w:p w14:paraId="67C59883">
            <w:pPr>
              <w:widowControl/>
              <w:jc w:val="center"/>
              <w:rPr>
                <w:rFonts w:ascii="宋体" w:hAnsi="宋体" w:cs="宋体"/>
                <w:color w:val="000000"/>
                <w:sz w:val="22"/>
                <w:szCs w:val="22"/>
              </w:rPr>
            </w:pPr>
            <w:r>
              <w:rPr>
                <w:rFonts w:hint="eastAsia" w:ascii="宋体" w:hAnsi="宋体" w:cs="宋体"/>
                <w:color w:val="000000"/>
                <w:sz w:val="22"/>
                <w:szCs w:val="22"/>
              </w:rPr>
              <w:t>一次交验合格率98%</w:t>
            </w:r>
          </w:p>
        </w:tc>
        <w:tc>
          <w:tcPr>
            <w:tcW w:w="1323" w:type="dxa"/>
            <w:vAlign w:val="center"/>
          </w:tcPr>
          <w:p w14:paraId="4E79C8ED">
            <w:pPr>
              <w:widowControl/>
              <w:jc w:val="left"/>
              <w:rPr>
                <w:rFonts w:ascii="宋体" w:hAnsi="宋体" w:cs="宋体"/>
                <w:color w:val="000000"/>
                <w:sz w:val="22"/>
                <w:szCs w:val="22"/>
              </w:rPr>
            </w:pPr>
          </w:p>
        </w:tc>
      </w:tr>
      <w:tr w14:paraId="53BC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24742897">
            <w:pPr>
              <w:widowControl/>
              <w:jc w:val="center"/>
              <w:rPr>
                <w:rFonts w:ascii="宋体" w:hAnsi="宋体" w:cs="宋体"/>
                <w:color w:val="000000"/>
                <w:sz w:val="22"/>
                <w:szCs w:val="22"/>
              </w:rPr>
            </w:pPr>
          </w:p>
        </w:tc>
        <w:tc>
          <w:tcPr>
            <w:tcW w:w="706" w:type="dxa"/>
            <w:vAlign w:val="center"/>
          </w:tcPr>
          <w:p w14:paraId="301FA97D">
            <w:pPr>
              <w:widowControl/>
              <w:jc w:val="left"/>
              <w:rPr>
                <w:rFonts w:ascii="宋体" w:hAnsi="宋体" w:cs="宋体"/>
                <w:color w:val="000000"/>
                <w:sz w:val="22"/>
                <w:szCs w:val="22"/>
              </w:rPr>
            </w:pPr>
            <w:r>
              <w:rPr>
                <w:rFonts w:hint="eastAsia" w:ascii="宋体" w:hAnsi="宋体" w:cs="宋体"/>
                <w:color w:val="000000"/>
                <w:sz w:val="22"/>
                <w:szCs w:val="22"/>
              </w:rPr>
              <w:t>不合格输出的控制</w:t>
            </w:r>
          </w:p>
        </w:tc>
        <w:tc>
          <w:tcPr>
            <w:tcW w:w="738" w:type="dxa"/>
            <w:vAlign w:val="center"/>
          </w:tcPr>
          <w:p w14:paraId="5D9F91E9">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16C76149">
            <w:pPr>
              <w:widowControl/>
              <w:jc w:val="left"/>
              <w:rPr>
                <w:rFonts w:ascii="宋体" w:hAnsi="宋体" w:cs="宋体"/>
                <w:color w:val="000000"/>
                <w:sz w:val="22"/>
                <w:szCs w:val="22"/>
              </w:rPr>
            </w:pPr>
            <w:r>
              <w:rPr>
                <w:rFonts w:hint="eastAsia" w:ascii="宋体" w:hAnsi="宋体" w:cs="宋体"/>
                <w:color w:val="000000"/>
                <w:sz w:val="22"/>
                <w:szCs w:val="22"/>
              </w:rPr>
              <w:t>不合格品和不合格过程；可疑产品；顾客退回产品</w:t>
            </w:r>
          </w:p>
        </w:tc>
        <w:tc>
          <w:tcPr>
            <w:tcW w:w="2977" w:type="dxa"/>
            <w:vAlign w:val="center"/>
          </w:tcPr>
          <w:p w14:paraId="1339D726">
            <w:pPr>
              <w:widowControl/>
              <w:jc w:val="left"/>
              <w:rPr>
                <w:rFonts w:ascii="宋体" w:hAnsi="宋体" w:cs="宋体"/>
                <w:color w:val="000000"/>
                <w:sz w:val="22"/>
                <w:szCs w:val="22"/>
              </w:rPr>
            </w:pPr>
            <w:r>
              <w:rPr>
                <w:rFonts w:hint="eastAsia" w:ascii="宋体" w:hAnsi="宋体" w:cs="宋体"/>
                <w:color w:val="000000"/>
                <w:sz w:val="22"/>
                <w:szCs w:val="22"/>
              </w:rPr>
              <w:t>不合格品通知单</w:t>
            </w:r>
          </w:p>
        </w:tc>
        <w:tc>
          <w:tcPr>
            <w:tcW w:w="1455" w:type="dxa"/>
            <w:vAlign w:val="center"/>
          </w:tcPr>
          <w:p w14:paraId="3783F1D4">
            <w:pPr>
              <w:widowControl/>
              <w:jc w:val="left"/>
              <w:rPr>
                <w:rFonts w:ascii="宋体" w:hAnsi="宋体" w:cs="宋体"/>
                <w:color w:val="000000"/>
                <w:sz w:val="22"/>
                <w:szCs w:val="22"/>
              </w:rPr>
            </w:pPr>
            <w:r>
              <w:rPr>
                <w:rFonts w:hint="eastAsia" w:ascii="宋体" w:hAnsi="宋体" w:cs="宋体"/>
                <w:color w:val="000000"/>
                <w:sz w:val="22"/>
                <w:szCs w:val="22"/>
              </w:rPr>
              <w:t>标识、不合格区域、</w:t>
            </w:r>
          </w:p>
        </w:tc>
        <w:tc>
          <w:tcPr>
            <w:tcW w:w="954" w:type="dxa"/>
            <w:vAlign w:val="center"/>
          </w:tcPr>
          <w:p w14:paraId="28E7A096">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7276BCC2">
            <w:pPr>
              <w:widowControl/>
              <w:jc w:val="left"/>
              <w:rPr>
                <w:rFonts w:ascii="宋体" w:hAnsi="宋体" w:cs="宋体"/>
                <w:color w:val="000000"/>
                <w:sz w:val="22"/>
                <w:szCs w:val="22"/>
              </w:rPr>
            </w:pPr>
            <w:r>
              <w:rPr>
                <w:rFonts w:hint="eastAsia" w:ascii="宋体" w:hAnsi="宋体" w:cs="宋体"/>
                <w:color w:val="000000"/>
                <w:sz w:val="22"/>
                <w:szCs w:val="22"/>
              </w:rPr>
              <w:t>不合格得到有效控制</w:t>
            </w:r>
          </w:p>
        </w:tc>
        <w:tc>
          <w:tcPr>
            <w:tcW w:w="1370" w:type="dxa"/>
            <w:vAlign w:val="center"/>
          </w:tcPr>
          <w:p w14:paraId="00920232">
            <w:pPr>
              <w:widowControl/>
              <w:jc w:val="center"/>
              <w:rPr>
                <w:rFonts w:ascii="宋体" w:hAnsi="宋体" w:cs="宋体"/>
                <w:color w:val="000000"/>
                <w:sz w:val="22"/>
                <w:szCs w:val="22"/>
              </w:rPr>
            </w:pPr>
            <w:r>
              <w:rPr>
                <w:rFonts w:hint="eastAsia" w:ascii="宋体" w:hAnsi="宋体" w:cs="宋体"/>
                <w:color w:val="000000"/>
                <w:sz w:val="22"/>
                <w:szCs w:val="22"/>
              </w:rPr>
              <w:t>不合格纠正完成率100%</w:t>
            </w:r>
          </w:p>
        </w:tc>
        <w:tc>
          <w:tcPr>
            <w:tcW w:w="1323" w:type="dxa"/>
            <w:vAlign w:val="center"/>
          </w:tcPr>
          <w:p w14:paraId="75DF7C5E">
            <w:pPr>
              <w:widowControl/>
              <w:jc w:val="center"/>
              <w:rPr>
                <w:rFonts w:ascii="宋体" w:hAnsi="宋体" w:cs="宋体"/>
                <w:color w:val="000000"/>
                <w:sz w:val="22"/>
                <w:szCs w:val="22"/>
              </w:rPr>
            </w:pPr>
          </w:p>
        </w:tc>
      </w:tr>
      <w:tr w14:paraId="5A31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36BCE93">
            <w:pPr>
              <w:widowControl/>
              <w:jc w:val="center"/>
              <w:rPr>
                <w:rFonts w:ascii="宋体" w:hAnsi="宋体" w:cs="宋体"/>
                <w:color w:val="000000"/>
                <w:sz w:val="22"/>
                <w:szCs w:val="22"/>
              </w:rPr>
            </w:pPr>
          </w:p>
        </w:tc>
        <w:tc>
          <w:tcPr>
            <w:tcW w:w="706" w:type="dxa"/>
            <w:vAlign w:val="center"/>
          </w:tcPr>
          <w:p w14:paraId="0BF0CD3E">
            <w:pPr>
              <w:widowControl/>
              <w:jc w:val="left"/>
              <w:rPr>
                <w:rFonts w:ascii="宋体" w:hAnsi="宋体" w:cs="宋体"/>
                <w:color w:val="000000"/>
                <w:sz w:val="22"/>
                <w:szCs w:val="22"/>
              </w:rPr>
            </w:pPr>
            <w:r>
              <w:rPr>
                <w:rFonts w:hint="eastAsia" w:ascii="宋体" w:hAnsi="宋体" w:cs="宋体"/>
                <w:color w:val="000000"/>
                <w:sz w:val="22"/>
                <w:szCs w:val="22"/>
              </w:rPr>
              <w:t>产品交付与放行</w:t>
            </w:r>
          </w:p>
        </w:tc>
        <w:tc>
          <w:tcPr>
            <w:tcW w:w="738" w:type="dxa"/>
            <w:vAlign w:val="center"/>
          </w:tcPr>
          <w:p w14:paraId="65BC42EB">
            <w:pPr>
              <w:widowControl/>
              <w:jc w:val="left"/>
              <w:rPr>
                <w:rFonts w:ascii="宋体" w:hAnsi="宋体" w:cs="宋体"/>
                <w:color w:val="000000"/>
                <w:sz w:val="22"/>
                <w:szCs w:val="22"/>
              </w:rPr>
            </w:pPr>
          </w:p>
        </w:tc>
        <w:tc>
          <w:tcPr>
            <w:tcW w:w="3231" w:type="dxa"/>
            <w:vAlign w:val="center"/>
          </w:tcPr>
          <w:p w14:paraId="321A960A">
            <w:pPr>
              <w:widowControl/>
              <w:jc w:val="left"/>
              <w:rPr>
                <w:rFonts w:ascii="宋体" w:hAnsi="宋体" w:cs="宋体"/>
                <w:color w:val="000000"/>
                <w:sz w:val="22"/>
                <w:szCs w:val="22"/>
              </w:rPr>
            </w:pPr>
            <w:r>
              <w:rPr>
                <w:rFonts w:hint="eastAsia" w:ascii="宋体" w:hAnsi="宋体" w:cs="宋体"/>
                <w:color w:val="000000"/>
                <w:sz w:val="22"/>
                <w:szCs w:val="22"/>
              </w:rPr>
              <w:t>完成检验符合订单要求的合格产品；提供相关检验记录</w:t>
            </w:r>
          </w:p>
        </w:tc>
        <w:tc>
          <w:tcPr>
            <w:tcW w:w="2977" w:type="dxa"/>
            <w:vAlign w:val="center"/>
          </w:tcPr>
          <w:p w14:paraId="25EC87A8">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按时交付到客户手中的产品；《发货清单》</w:t>
            </w:r>
          </w:p>
        </w:tc>
        <w:tc>
          <w:tcPr>
            <w:tcW w:w="1455" w:type="dxa"/>
            <w:vAlign w:val="center"/>
          </w:tcPr>
          <w:p w14:paraId="02A8BCF4">
            <w:pPr>
              <w:widowControl/>
              <w:jc w:val="left"/>
              <w:rPr>
                <w:rFonts w:ascii="宋体" w:hAnsi="宋体" w:cs="宋体"/>
                <w:color w:val="000000"/>
                <w:sz w:val="22"/>
                <w:szCs w:val="22"/>
              </w:rPr>
            </w:pPr>
            <w:r>
              <w:rPr>
                <w:rFonts w:hint="eastAsia" w:ascii="宋体" w:hAnsi="宋体" w:cs="宋体"/>
                <w:color w:val="000000"/>
                <w:sz w:val="22"/>
                <w:szCs w:val="22"/>
              </w:rPr>
              <w:t>运输车辆、人员、电脑</w:t>
            </w:r>
          </w:p>
        </w:tc>
        <w:tc>
          <w:tcPr>
            <w:tcW w:w="954" w:type="dxa"/>
            <w:vAlign w:val="center"/>
          </w:tcPr>
          <w:p w14:paraId="2725E19F">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B5FCE81">
            <w:pPr>
              <w:widowControl/>
              <w:jc w:val="left"/>
              <w:rPr>
                <w:rFonts w:ascii="宋体" w:hAnsi="宋体" w:cs="宋体"/>
                <w:color w:val="000000"/>
                <w:sz w:val="22"/>
                <w:szCs w:val="22"/>
              </w:rPr>
            </w:pPr>
            <w:r>
              <w:rPr>
                <w:rFonts w:hint="eastAsia" w:ascii="宋体" w:hAnsi="宋体" w:cs="宋体"/>
                <w:color w:val="000000"/>
                <w:sz w:val="22"/>
                <w:szCs w:val="22"/>
              </w:rPr>
              <w:t>准时提供合格的产品和服务</w:t>
            </w:r>
          </w:p>
        </w:tc>
        <w:tc>
          <w:tcPr>
            <w:tcW w:w="1370" w:type="dxa"/>
            <w:vAlign w:val="center"/>
          </w:tcPr>
          <w:p w14:paraId="3E1F9362">
            <w:pPr>
              <w:widowControl/>
              <w:jc w:val="center"/>
              <w:rPr>
                <w:rFonts w:ascii="宋体" w:hAnsi="宋体" w:cs="宋体"/>
                <w:color w:val="000000"/>
                <w:sz w:val="22"/>
                <w:szCs w:val="22"/>
              </w:rPr>
            </w:pPr>
            <w:r>
              <w:rPr>
                <w:rFonts w:hint="eastAsia" w:ascii="宋体" w:hAnsi="宋体" w:cs="宋体"/>
                <w:color w:val="000000"/>
                <w:sz w:val="22"/>
                <w:szCs w:val="22"/>
              </w:rPr>
              <w:t>产品准时交付率≥90%</w:t>
            </w:r>
          </w:p>
        </w:tc>
        <w:tc>
          <w:tcPr>
            <w:tcW w:w="1323" w:type="dxa"/>
            <w:vAlign w:val="center"/>
          </w:tcPr>
          <w:p w14:paraId="6F21DEBE">
            <w:pPr>
              <w:widowControl/>
              <w:jc w:val="center"/>
              <w:rPr>
                <w:rFonts w:ascii="宋体" w:hAnsi="宋体" w:cs="宋体"/>
                <w:color w:val="000000"/>
                <w:sz w:val="22"/>
                <w:szCs w:val="22"/>
              </w:rPr>
            </w:pPr>
            <w:r>
              <w:rPr>
                <w:rFonts w:hint="eastAsia" w:ascii="宋体" w:hAnsi="宋体" w:cs="宋体"/>
                <w:color w:val="000000"/>
                <w:sz w:val="22"/>
                <w:szCs w:val="22"/>
              </w:rPr>
              <w:t>产品准时交付率=按合同交付的批次/总交付批次*100%</w:t>
            </w:r>
          </w:p>
        </w:tc>
      </w:tr>
      <w:tr w14:paraId="7372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9E3E487">
            <w:pPr>
              <w:rPr>
                <w:rFonts w:ascii="宋体" w:hAnsi="宋体" w:cs="Times New Roman"/>
                <w:sz w:val="22"/>
                <w:szCs w:val="22"/>
              </w:rPr>
            </w:pPr>
          </w:p>
        </w:tc>
        <w:tc>
          <w:tcPr>
            <w:tcW w:w="706" w:type="dxa"/>
            <w:vAlign w:val="center"/>
          </w:tcPr>
          <w:p w14:paraId="62B88776">
            <w:pPr>
              <w:widowControl/>
              <w:jc w:val="left"/>
              <w:rPr>
                <w:rFonts w:ascii="宋体" w:hAnsi="宋体" w:cs="宋体"/>
                <w:color w:val="000000"/>
                <w:sz w:val="22"/>
                <w:szCs w:val="22"/>
              </w:rPr>
            </w:pPr>
            <w:r>
              <w:rPr>
                <w:rFonts w:hint="eastAsia" w:ascii="宋体" w:hAnsi="宋体" w:cs="宋体"/>
                <w:color w:val="000000"/>
                <w:sz w:val="22"/>
                <w:szCs w:val="22"/>
              </w:rPr>
              <w:t>交付后的活动</w:t>
            </w:r>
          </w:p>
        </w:tc>
        <w:tc>
          <w:tcPr>
            <w:tcW w:w="738" w:type="dxa"/>
            <w:vAlign w:val="center"/>
          </w:tcPr>
          <w:p w14:paraId="7A02A8AC">
            <w:pPr>
              <w:widowControl/>
              <w:jc w:val="left"/>
              <w:rPr>
                <w:rFonts w:ascii="宋体" w:hAnsi="宋体" w:cs="宋体"/>
                <w:color w:val="000000"/>
                <w:sz w:val="22"/>
                <w:szCs w:val="22"/>
              </w:rPr>
            </w:pPr>
          </w:p>
        </w:tc>
        <w:tc>
          <w:tcPr>
            <w:tcW w:w="3231" w:type="dxa"/>
            <w:vAlign w:val="center"/>
          </w:tcPr>
          <w:p w14:paraId="752E8BAD">
            <w:pPr>
              <w:widowControl/>
              <w:jc w:val="left"/>
              <w:rPr>
                <w:rFonts w:ascii="宋体" w:hAnsi="宋体" w:cs="宋体"/>
                <w:color w:val="000000"/>
                <w:sz w:val="22"/>
                <w:szCs w:val="22"/>
              </w:rPr>
            </w:pPr>
            <w:r>
              <w:rPr>
                <w:rFonts w:hint="eastAsia" w:ascii="宋体" w:hAnsi="宋体" w:cs="宋体"/>
                <w:color w:val="000000"/>
                <w:sz w:val="22"/>
                <w:szCs w:val="22"/>
              </w:rPr>
              <w:t>按时交付到客户手中的产品和相关要求的满足；《发货清单》和相关资料；顾客抱怨、退货产品；顾客关注的产品、质量、交付、服务等</w:t>
            </w:r>
          </w:p>
        </w:tc>
        <w:tc>
          <w:tcPr>
            <w:tcW w:w="2977" w:type="dxa"/>
            <w:vAlign w:val="center"/>
          </w:tcPr>
          <w:p w14:paraId="4F6AFB7B">
            <w:pPr>
              <w:widowControl/>
              <w:jc w:val="left"/>
              <w:rPr>
                <w:rFonts w:ascii="宋体" w:hAnsi="宋体" w:cs="宋体"/>
                <w:color w:val="000000"/>
                <w:sz w:val="22"/>
                <w:szCs w:val="22"/>
              </w:rPr>
            </w:pPr>
            <w:r>
              <w:rPr>
                <w:rFonts w:hint="eastAsia" w:ascii="宋体" w:hAnsi="宋体" w:cs="宋体"/>
                <w:color w:val="000000"/>
                <w:sz w:val="22"/>
                <w:szCs w:val="22"/>
              </w:rPr>
              <w:t>顾客满意度调查表；顾客反映意见处理单；顾客满意度分析报告</w:t>
            </w:r>
          </w:p>
        </w:tc>
        <w:tc>
          <w:tcPr>
            <w:tcW w:w="1455" w:type="dxa"/>
            <w:vAlign w:val="center"/>
          </w:tcPr>
          <w:p w14:paraId="71CD911A">
            <w:pPr>
              <w:widowControl/>
              <w:adjustRightInd w:val="0"/>
              <w:jc w:val="left"/>
              <w:rPr>
                <w:rFonts w:ascii="宋体" w:hAnsi="宋体" w:cs="宋体"/>
                <w:color w:val="000000"/>
                <w:sz w:val="22"/>
                <w:szCs w:val="22"/>
              </w:rPr>
            </w:pPr>
            <w:r>
              <w:rPr>
                <w:rFonts w:hint="eastAsia" w:ascii="宋体" w:hAnsi="宋体" w:cs="宋体"/>
                <w:color w:val="000000"/>
                <w:sz w:val="22"/>
                <w:szCs w:val="22"/>
              </w:rPr>
              <w:t>电脑、传真机、电话、顾客满意度调查表、顾客反映意见处理单</w:t>
            </w:r>
          </w:p>
        </w:tc>
        <w:tc>
          <w:tcPr>
            <w:tcW w:w="954" w:type="dxa"/>
            <w:vAlign w:val="center"/>
          </w:tcPr>
          <w:p w14:paraId="39090760">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18F54B70">
            <w:pPr>
              <w:widowControl/>
              <w:jc w:val="left"/>
              <w:rPr>
                <w:rFonts w:ascii="宋体" w:hAnsi="宋体" w:cs="宋体"/>
                <w:color w:val="000000"/>
                <w:sz w:val="22"/>
                <w:szCs w:val="22"/>
              </w:rPr>
            </w:pPr>
            <w:r>
              <w:rPr>
                <w:rFonts w:hint="eastAsia" w:ascii="宋体" w:hAnsi="宋体" w:cs="宋体"/>
                <w:color w:val="000000"/>
                <w:sz w:val="22"/>
                <w:szCs w:val="22"/>
              </w:rPr>
              <w:t>及时回复原因及纠正预防措施</w:t>
            </w:r>
          </w:p>
        </w:tc>
        <w:tc>
          <w:tcPr>
            <w:tcW w:w="1370" w:type="dxa"/>
            <w:vAlign w:val="center"/>
          </w:tcPr>
          <w:p w14:paraId="43591251">
            <w:pPr>
              <w:widowControl/>
              <w:jc w:val="center"/>
              <w:rPr>
                <w:rFonts w:ascii="宋体" w:hAnsi="宋体" w:cs="宋体"/>
                <w:color w:val="000000"/>
                <w:sz w:val="22"/>
                <w:szCs w:val="22"/>
              </w:rPr>
            </w:pPr>
            <w:r>
              <w:rPr>
                <w:rFonts w:hint="eastAsia" w:ascii="宋体" w:hAnsi="宋体" w:cs="宋体"/>
                <w:color w:val="000000"/>
                <w:sz w:val="22"/>
                <w:szCs w:val="22"/>
              </w:rPr>
              <w:t>顾客投诉/售后服务关闭率100%</w:t>
            </w:r>
          </w:p>
        </w:tc>
        <w:tc>
          <w:tcPr>
            <w:tcW w:w="1323" w:type="dxa"/>
            <w:vAlign w:val="center"/>
          </w:tcPr>
          <w:p w14:paraId="174104A4">
            <w:pPr>
              <w:widowControl/>
              <w:jc w:val="center"/>
              <w:rPr>
                <w:rFonts w:ascii="宋体" w:hAnsi="宋体" w:cs="宋体"/>
                <w:color w:val="000000"/>
                <w:sz w:val="22"/>
                <w:szCs w:val="22"/>
              </w:rPr>
            </w:pPr>
            <w:r>
              <w:rPr>
                <w:rFonts w:hint="eastAsia" w:ascii="宋体" w:hAnsi="宋体" w:cs="宋体"/>
                <w:color w:val="000000"/>
                <w:sz w:val="22"/>
                <w:szCs w:val="22"/>
              </w:rPr>
              <w:t>顾客满意度≥90%；</w:t>
            </w:r>
          </w:p>
          <w:p w14:paraId="6C529DC8">
            <w:pPr>
              <w:widowControl/>
              <w:jc w:val="center"/>
              <w:rPr>
                <w:rFonts w:ascii="宋体" w:hAnsi="宋体" w:cs="宋体"/>
                <w:color w:val="000000"/>
                <w:sz w:val="22"/>
                <w:szCs w:val="22"/>
              </w:rPr>
            </w:pPr>
          </w:p>
        </w:tc>
      </w:tr>
      <w:tr w14:paraId="0FC1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03565EFA">
            <w:pPr>
              <w:rPr>
                <w:rFonts w:ascii="宋体" w:hAnsi="宋体" w:cs="Times New Roman"/>
                <w:sz w:val="22"/>
                <w:szCs w:val="22"/>
              </w:rPr>
            </w:pPr>
          </w:p>
        </w:tc>
        <w:tc>
          <w:tcPr>
            <w:tcW w:w="706" w:type="dxa"/>
            <w:vAlign w:val="center"/>
          </w:tcPr>
          <w:p w14:paraId="27A5DE4F">
            <w:pPr>
              <w:widowControl/>
              <w:jc w:val="left"/>
              <w:rPr>
                <w:rFonts w:ascii="宋体" w:hAnsi="宋体" w:cs="宋体"/>
                <w:color w:val="000000"/>
                <w:sz w:val="22"/>
                <w:szCs w:val="22"/>
              </w:rPr>
            </w:pPr>
            <w:r>
              <w:rPr>
                <w:rFonts w:hint="eastAsia" w:ascii="宋体" w:hAnsi="宋体" w:cs="宋体"/>
                <w:color w:val="000000"/>
                <w:sz w:val="22"/>
                <w:szCs w:val="22"/>
              </w:rPr>
              <w:t>变更管理</w:t>
            </w:r>
          </w:p>
        </w:tc>
        <w:tc>
          <w:tcPr>
            <w:tcW w:w="738" w:type="dxa"/>
            <w:vAlign w:val="center"/>
          </w:tcPr>
          <w:p w14:paraId="7FEA2265">
            <w:pPr>
              <w:widowControl/>
              <w:jc w:val="left"/>
              <w:rPr>
                <w:rFonts w:ascii="宋体" w:hAnsi="宋体" w:cs="宋体"/>
                <w:color w:val="000000"/>
                <w:sz w:val="22"/>
                <w:szCs w:val="22"/>
              </w:rPr>
            </w:pPr>
          </w:p>
        </w:tc>
        <w:tc>
          <w:tcPr>
            <w:tcW w:w="3231" w:type="dxa"/>
            <w:vAlign w:val="center"/>
          </w:tcPr>
          <w:p w14:paraId="58E15578">
            <w:pPr>
              <w:widowControl/>
              <w:jc w:val="left"/>
              <w:rPr>
                <w:rFonts w:ascii="宋体" w:hAnsi="宋体" w:cs="宋体"/>
                <w:color w:val="000000"/>
                <w:sz w:val="22"/>
                <w:szCs w:val="22"/>
              </w:rPr>
            </w:pPr>
            <w:r>
              <w:rPr>
                <w:rFonts w:hint="eastAsia" w:ascii="宋体" w:hAnsi="宋体" w:cs="宋体"/>
                <w:color w:val="000000"/>
                <w:sz w:val="22"/>
                <w:szCs w:val="22"/>
              </w:rPr>
              <w:t>外部更改需求，内部更改需求</w:t>
            </w:r>
          </w:p>
        </w:tc>
        <w:tc>
          <w:tcPr>
            <w:tcW w:w="2977" w:type="dxa"/>
            <w:vAlign w:val="center"/>
          </w:tcPr>
          <w:p w14:paraId="28F698D3">
            <w:pPr>
              <w:widowControl/>
              <w:jc w:val="left"/>
              <w:rPr>
                <w:rFonts w:ascii="宋体" w:hAnsi="宋体" w:cs="宋体"/>
                <w:color w:val="000000"/>
                <w:sz w:val="22"/>
                <w:szCs w:val="22"/>
              </w:rPr>
            </w:pPr>
            <w:r>
              <w:rPr>
                <w:rFonts w:hint="eastAsia" w:ascii="宋体" w:hAnsi="宋体" w:cs="宋体"/>
                <w:color w:val="000000"/>
                <w:sz w:val="22"/>
                <w:szCs w:val="22"/>
              </w:rPr>
              <w:t>更改通知单，变更的文件、记录</w:t>
            </w:r>
          </w:p>
        </w:tc>
        <w:tc>
          <w:tcPr>
            <w:tcW w:w="1455" w:type="dxa"/>
            <w:vAlign w:val="center"/>
          </w:tcPr>
          <w:p w14:paraId="75382B18">
            <w:pPr>
              <w:widowControl/>
              <w:jc w:val="left"/>
              <w:rPr>
                <w:rFonts w:ascii="宋体" w:hAnsi="宋体" w:cs="宋体"/>
                <w:color w:val="000000"/>
                <w:sz w:val="22"/>
                <w:szCs w:val="22"/>
              </w:rPr>
            </w:pPr>
            <w:r>
              <w:rPr>
                <w:rFonts w:hint="eastAsia" w:ascii="宋体" w:hAnsi="宋体" w:cs="宋体"/>
                <w:color w:val="000000"/>
                <w:sz w:val="22"/>
                <w:szCs w:val="22"/>
              </w:rPr>
              <w:t>电脑、协作平台、办公设施和场所</w:t>
            </w:r>
          </w:p>
        </w:tc>
        <w:tc>
          <w:tcPr>
            <w:tcW w:w="954" w:type="dxa"/>
            <w:vAlign w:val="center"/>
          </w:tcPr>
          <w:p w14:paraId="7D6D30A0">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7F9D2E3E">
            <w:pPr>
              <w:widowControl/>
              <w:jc w:val="center"/>
              <w:rPr>
                <w:rFonts w:ascii="宋体" w:hAnsi="宋体" w:cs="宋体"/>
                <w:color w:val="000000"/>
                <w:sz w:val="22"/>
                <w:szCs w:val="22"/>
              </w:rPr>
            </w:pPr>
            <w:r>
              <w:rPr>
                <w:rFonts w:hint="eastAsia" w:ascii="宋体" w:hAnsi="宋体" w:cs="宋体"/>
                <w:color w:val="000000"/>
                <w:sz w:val="22"/>
                <w:szCs w:val="22"/>
              </w:rPr>
              <w:t>市场部</w:t>
            </w:r>
          </w:p>
        </w:tc>
        <w:tc>
          <w:tcPr>
            <w:tcW w:w="992" w:type="dxa"/>
            <w:vAlign w:val="center"/>
          </w:tcPr>
          <w:p w14:paraId="25ED5715">
            <w:pPr>
              <w:widowControl/>
              <w:jc w:val="left"/>
              <w:rPr>
                <w:rFonts w:ascii="宋体" w:hAnsi="宋体" w:cs="宋体"/>
                <w:color w:val="000000"/>
                <w:sz w:val="22"/>
                <w:szCs w:val="22"/>
              </w:rPr>
            </w:pPr>
            <w:r>
              <w:rPr>
                <w:rFonts w:hint="eastAsia" w:ascii="宋体" w:hAnsi="宋体" w:cs="宋体"/>
                <w:color w:val="000000"/>
                <w:sz w:val="22"/>
                <w:szCs w:val="22"/>
              </w:rPr>
              <w:t>变更得到确认</w:t>
            </w:r>
          </w:p>
        </w:tc>
        <w:tc>
          <w:tcPr>
            <w:tcW w:w="1370" w:type="dxa"/>
            <w:vAlign w:val="center"/>
          </w:tcPr>
          <w:p w14:paraId="62126C0E">
            <w:pPr>
              <w:widowControl/>
              <w:jc w:val="center"/>
              <w:rPr>
                <w:rFonts w:ascii="宋体" w:hAnsi="宋体" w:cs="宋体"/>
                <w:color w:val="000000"/>
                <w:sz w:val="22"/>
                <w:szCs w:val="22"/>
              </w:rPr>
            </w:pPr>
          </w:p>
        </w:tc>
        <w:tc>
          <w:tcPr>
            <w:tcW w:w="1323" w:type="dxa"/>
            <w:vAlign w:val="center"/>
          </w:tcPr>
          <w:p w14:paraId="1A65372F">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766D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78D768A3">
            <w:pPr>
              <w:widowControl/>
              <w:jc w:val="center"/>
              <w:rPr>
                <w:rFonts w:ascii="宋体" w:hAnsi="宋体" w:cs="宋体"/>
                <w:color w:val="000000"/>
                <w:sz w:val="22"/>
                <w:szCs w:val="22"/>
              </w:rPr>
            </w:pPr>
            <w:r>
              <w:rPr>
                <w:rFonts w:hint="eastAsia" w:ascii="宋体" w:hAnsi="宋体" w:cs="宋体"/>
                <w:color w:val="000000"/>
                <w:sz w:val="22"/>
                <w:szCs w:val="22"/>
              </w:rPr>
              <w:t>支持过程</w:t>
            </w:r>
          </w:p>
        </w:tc>
        <w:tc>
          <w:tcPr>
            <w:tcW w:w="706" w:type="dxa"/>
            <w:vMerge w:val="restart"/>
            <w:vAlign w:val="center"/>
          </w:tcPr>
          <w:p w14:paraId="630EC5D9">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3ADB415F">
            <w:pPr>
              <w:widowControl/>
              <w:jc w:val="left"/>
              <w:rPr>
                <w:rFonts w:ascii="宋体" w:hAnsi="宋体" w:cs="宋体"/>
                <w:color w:val="000000"/>
                <w:sz w:val="22"/>
                <w:szCs w:val="22"/>
              </w:rPr>
            </w:pPr>
            <w:r>
              <w:rPr>
                <w:rFonts w:hint="eastAsia" w:ascii="宋体" w:hAnsi="宋体" w:cs="宋体"/>
                <w:color w:val="000000"/>
                <w:sz w:val="22"/>
                <w:szCs w:val="22"/>
              </w:rPr>
              <w:t>人力资源管理过程</w:t>
            </w:r>
          </w:p>
        </w:tc>
        <w:tc>
          <w:tcPr>
            <w:tcW w:w="3231" w:type="dxa"/>
            <w:vAlign w:val="center"/>
          </w:tcPr>
          <w:p w14:paraId="58AD40D5">
            <w:pPr>
              <w:widowControl/>
              <w:jc w:val="left"/>
              <w:rPr>
                <w:rFonts w:ascii="宋体" w:hAnsi="宋体" w:cs="宋体"/>
                <w:color w:val="000000"/>
                <w:sz w:val="22"/>
                <w:szCs w:val="22"/>
              </w:rPr>
            </w:pPr>
            <w:r>
              <w:rPr>
                <w:rFonts w:hint="eastAsia" w:ascii="宋体" w:hAnsi="宋体" w:cs="宋体"/>
                <w:color w:val="000000"/>
                <w:sz w:val="22"/>
                <w:szCs w:val="22"/>
              </w:rPr>
              <w:t>新进人员、在职人员、特殊岗位人员培训需求；年度培训计划；员工奖励制度（工龄、福利）安全、工作环境等</w:t>
            </w:r>
          </w:p>
        </w:tc>
        <w:tc>
          <w:tcPr>
            <w:tcW w:w="2977" w:type="dxa"/>
            <w:vAlign w:val="center"/>
          </w:tcPr>
          <w:p w14:paraId="72AD59C3">
            <w:pPr>
              <w:widowControl/>
              <w:jc w:val="left"/>
              <w:rPr>
                <w:rFonts w:ascii="宋体" w:hAnsi="宋体" w:cs="宋体"/>
                <w:color w:val="000000"/>
                <w:sz w:val="22"/>
                <w:szCs w:val="22"/>
              </w:rPr>
            </w:pPr>
            <w:r>
              <w:rPr>
                <w:rFonts w:hint="eastAsia" w:ascii="宋体" w:hAnsi="宋体" w:cs="宋体"/>
                <w:color w:val="000000"/>
                <w:sz w:val="22"/>
                <w:szCs w:val="22"/>
              </w:rPr>
              <w:t>培训需求表</w:t>
            </w:r>
          </w:p>
          <w:p w14:paraId="226DB442">
            <w:pPr>
              <w:widowControl/>
              <w:jc w:val="left"/>
              <w:rPr>
                <w:rFonts w:ascii="宋体" w:hAnsi="宋体" w:cs="宋体"/>
                <w:color w:val="000000"/>
                <w:sz w:val="22"/>
                <w:szCs w:val="22"/>
              </w:rPr>
            </w:pPr>
            <w:r>
              <w:rPr>
                <w:rFonts w:hint="eastAsia" w:ascii="宋体" w:hAnsi="宋体" w:cs="宋体"/>
                <w:color w:val="000000"/>
                <w:sz w:val="22"/>
                <w:szCs w:val="22"/>
              </w:rPr>
              <w:t>年度培训计划</w:t>
            </w:r>
          </w:p>
          <w:p w14:paraId="31BCD517">
            <w:pPr>
              <w:widowControl/>
              <w:jc w:val="left"/>
              <w:rPr>
                <w:rFonts w:ascii="宋体" w:hAnsi="宋体" w:cs="宋体"/>
                <w:color w:val="000000"/>
                <w:sz w:val="22"/>
                <w:szCs w:val="22"/>
              </w:rPr>
            </w:pPr>
            <w:r>
              <w:rPr>
                <w:rFonts w:hint="eastAsia" w:ascii="宋体" w:hAnsi="宋体" w:cs="宋体"/>
                <w:color w:val="000000"/>
                <w:sz w:val="22"/>
                <w:szCs w:val="22"/>
              </w:rPr>
              <w:t>培训记录</w:t>
            </w:r>
          </w:p>
          <w:p w14:paraId="5349CA08">
            <w:pPr>
              <w:widowControl/>
              <w:jc w:val="left"/>
              <w:rPr>
                <w:rFonts w:ascii="宋体" w:hAnsi="宋体" w:cs="宋体"/>
                <w:color w:val="000000"/>
                <w:sz w:val="22"/>
                <w:szCs w:val="22"/>
              </w:rPr>
            </w:pPr>
            <w:r>
              <w:rPr>
                <w:rFonts w:hint="eastAsia" w:ascii="宋体" w:hAnsi="宋体" w:cs="宋体"/>
                <w:color w:val="000000"/>
                <w:sz w:val="22"/>
                <w:szCs w:val="22"/>
              </w:rPr>
              <w:t>转岗记录</w:t>
            </w:r>
          </w:p>
          <w:p w14:paraId="6B4404D9">
            <w:pPr>
              <w:widowControl/>
              <w:jc w:val="left"/>
              <w:rPr>
                <w:rFonts w:ascii="宋体" w:hAnsi="宋体" w:cs="宋体"/>
                <w:color w:val="000000"/>
                <w:sz w:val="22"/>
                <w:szCs w:val="22"/>
              </w:rPr>
            </w:pPr>
            <w:r>
              <w:rPr>
                <w:rFonts w:hint="eastAsia" w:ascii="宋体" w:hAnsi="宋体" w:cs="宋体"/>
                <w:color w:val="000000"/>
                <w:sz w:val="22"/>
                <w:szCs w:val="22"/>
              </w:rPr>
              <w:t>职工合理化建议</w:t>
            </w:r>
          </w:p>
          <w:p w14:paraId="39AD1473">
            <w:pPr>
              <w:widowControl/>
              <w:jc w:val="left"/>
              <w:rPr>
                <w:rFonts w:ascii="宋体" w:hAnsi="宋体" w:cs="宋体"/>
                <w:color w:val="000000"/>
                <w:sz w:val="22"/>
                <w:szCs w:val="22"/>
              </w:rPr>
            </w:pPr>
          </w:p>
        </w:tc>
        <w:tc>
          <w:tcPr>
            <w:tcW w:w="1455" w:type="dxa"/>
            <w:vAlign w:val="center"/>
          </w:tcPr>
          <w:p w14:paraId="6BAF9728">
            <w:pPr>
              <w:widowControl/>
              <w:jc w:val="left"/>
              <w:rPr>
                <w:rFonts w:ascii="宋体" w:hAnsi="宋体" w:cs="宋体"/>
                <w:color w:val="000000"/>
                <w:sz w:val="22"/>
                <w:szCs w:val="22"/>
              </w:rPr>
            </w:pPr>
            <w:r>
              <w:rPr>
                <w:rFonts w:hint="eastAsia" w:ascii="宋体" w:hAnsi="宋体" w:cs="宋体"/>
                <w:color w:val="000000"/>
                <w:sz w:val="22"/>
                <w:szCs w:val="22"/>
              </w:rPr>
              <w:t>培训场地、教材、师资、电脑、投影仪</w:t>
            </w:r>
          </w:p>
        </w:tc>
        <w:tc>
          <w:tcPr>
            <w:tcW w:w="954" w:type="dxa"/>
            <w:vAlign w:val="center"/>
          </w:tcPr>
          <w:p w14:paraId="2D409A5F">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vAlign w:val="center"/>
          </w:tcPr>
          <w:p w14:paraId="2525350C">
            <w:pPr>
              <w:widowControl/>
              <w:jc w:val="center"/>
              <w:rPr>
                <w:rFonts w:ascii="宋体" w:hAnsi="宋体" w:cs="宋体"/>
                <w:color w:val="000000"/>
                <w:sz w:val="22"/>
                <w:szCs w:val="22"/>
              </w:rPr>
            </w:pPr>
            <w:r>
              <w:rPr>
                <w:rFonts w:hint="eastAsia" w:ascii="宋体" w:hAnsi="宋体" w:cs="宋体"/>
                <w:color w:val="000000"/>
                <w:sz w:val="22"/>
                <w:szCs w:val="22"/>
              </w:rPr>
              <w:t>人员胜任承担研制任务需求</w:t>
            </w:r>
          </w:p>
        </w:tc>
        <w:tc>
          <w:tcPr>
            <w:tcW w:w="1370" w:type="dxa"/>
            <w:vAlign w:val="center"/>
          </w:tcPr>
          <w:p w14:paraId="62BF6FB2">
            <w:pPr>
              <w:widowControl/>
              <w:jc w:val="center"/>
              <w:rPr>
                <w:rFonts w:ascii="宋体" w:hAnsi="宋体" w:cs="宋体"/>
                <w:color w:val="000000"/>
                <w:sz w:val="22"/>
                <w:szCs w:val="22"/>
              </w:rPr>
            </w:pPr>
            <w:r>
              <w:rPr>
                <w:rFonts w:hint="eastAsia" w:ascii="宋体" w:hAnsi="宋体" w:cs="宋体"/>
                <w:color w:val="000000"/>
                <w:sz w:val="22"/>
                <w:szCs w:val="22"/>
              </w:rPr>
              <w:t>培训计划实施率100%</w:t>
            </w:r>
          </w:p>
        </w:tc>
        <w:tc>
          <w:tcPr>
            <w:tcW w:w="1323" w:type="dxa"/>
            <w:vAlign w:val="center"/>
          </w:tcPr>
          <w:p w14:paraId="305AB8BB">
            <w:pPr>
              <w:widowControl/>
              <w:jc w:val="center"/>
              <w:rPr>
                <w:rFonts w:ascii="宋体" w:hAnsi="宋体" w:cs="宋体"/>
                <w:color w:val="000000"/>
                <w:sz w:val="22"/>
                <w:szCs w:val="22"/>
              </w:rPr>
            </w:pPr>
            <w:r>
              <w:rPr>
                <w:rFonts w:hint="eastAsia" w:ascii="宋体" w:hAnsi="宋体" w:cs="宋体"/>
                <w:color w:val="000000"/>
                <w:sz w:val="22"/>
                <w:szCs w:val="22"/>
              </w:rPr>
              <w:t>培训计划实施率=实际完成的培训计划次数/年度培训计划的总次</w:t>
            </w:r>
          </w:p>
        </w:tc>
      </w:tr>
      <w:tr w14:paraId="2B8F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7A79A69F">
            <w:pPr>
              <w:rPr>
                <w:rFonts w:ascii="宋体" w:hAnsi="宋体" w:cs="Times New Roman"/>
                <w:sz w:val="22"/>
                <w:szCs w:val="22"/>
              </w:rPr>
            </w:pPr>
          </w:p>
        </w:tc>
        <w:tc>
          <w:tcPr>
            <w:tcW w:w="706" w:type="dxa"/>
            <w:vMerge w:val="continue"/>
          </w:tcPr>
          <w:p w14:paraId="6E8318DD">
            <w:pPr>
              <w:widowControl/>
              <w:rPr>
                <w:rFonts w:ascii="宋体" w:hAnsi="宋体" w:cs="宋体"/>
                <w:color w:val="000000"/>
                <w:sz w:val="22"/>
                <w:szCs w:val="22"/>
              </w:rPr>
            </w:pPr>
          </w:p>
        </w:tc>
        <w:tc>
          <w:tcPr>
            <w:tcW w:w="738" w:type="dxa"/>
            <w:vAlign w:val="center"/>
          </w:tcPr>
          <w:p w14:paraId="2496939A">
            <w:pPr>
              <w:widowControl/>
              <w:jc w:val="left"/>
              <w:rPr>
                <w:rFonts w:ascii="宋体" w:hAnsi="宋体" w:cs="宋体"/>
                <w:color w:val="000000"/>
                <w:sz w:val="22"/>
                <w:szCs w:val="22"/>
              </w:rPr>
            </w:pPr>
            <w:r>
              <w:rPr>
                <w:rFonts w:hint="eastAsia" w:ascii="宋体" w:hAnsi="宋体" w:cs="宋体"/>
                <w:color w:val="000000"/>
                <w:sz w:val="22"/>
                <w:szCs w:val="22"/>
              </w:rPr>
              <w:t>设备管理过程</w:t>
            </w:r>
          </w:p>
        </w:tc>
        <w:tc>
          <w:tcPr>
            <w:tcW w:w="3231" w:type="dxa"/>
          </w:tcPr>
          <w:p w14:paraId="31A9BC3C">
            <w:pPr>
              <w:widowControl/>
              <w:rPr>
                <w:rFonts w:ascii="宋体" w:hAnsi="宋体" w:cs="宋体"/>
                <w:color w:val="000000"/>
                <w:sz w:val="22"/>
                <w:szCs w:val="22"/>
              </w:rPr>
            </w:pPr>
            <w:r>
              <w:rPr>
                <w:rFonts w:hint="eastAsia" w:ascii="宋体" w:hAnsi="宋体" w:cs="宋体"/>
                <w:color w:val="000000"/>
                <w:sz w:val="22"/>
                <w:szCs w:val="22"/>
              </w:rPr>
              <w:t>设备管理制度；设备维修计划；产品技术数据、经验、现场使用信息</w:t>
            </w:r>
          </w:p>
        </w:tc>
        <w:tc>
          <w:tcPr>
            <w:tcW w:w="2977" w:type="dxa"/>
          </w:tcPr>
          <w:p w14:paraId="1F2DA296">
            <w:pPr>
              <w:widowControl/>
              <w:rPr>
                <w:rFonts w:ascii="宋体" w:hAnsi="宋体" w:cs="宋体"/>
                <w:color w:val="000000"/>
                <w:sz w:val="22"/>
                <w:szCs w:val="22"/>
              </w:rPr>
            </w:pPr>
            <w:r>
              <w:rPr>
                <w:rFonts w:hint="eastAsia" w:ascii="宋体" w:hAnsi="宋体" w:cs="宋体"/>
                <w:color w:val="000000"/>
                <w:sz w:val="22"/>
                <w:szCs w:val="22"/>
              </w:rPr>
              <w:t>设备使用说明书；维修保养记录；日常保养记录表；数据备份</w:t>
            </w:r>
          </w:p>
        </w:tc>
        <w:tc>
          <w:tcPr>
            <w:tcW w:w="1455" w:type="dxa"/>
          </w:tcPr>
          <w:p w14:paraId="1399C98E">
            <w:pPr>
              <w:widowControl/>
              <w:jc w:val="center"/>
              <w:rPr>
                <w:rFonts w:ascii="宋体" w:hAnsi="宋体" w:cs="宋体"/>
                <w:color w:val="000000"/>
                <w:sz w:val="22"/>
                <w:szCs w:val="22"/>
              </w:rPr>
            </w:pPr>
            <w:r>
              <w:rPr>
                <w:rFonts w:hint="eastAsia" w:ascii="宋体" w:hAnsi="宋体" w:cs="宋体"/>
                <w:color w:val="000000"/>
                <w:sz w:val="22"/>
                <w:szCs w:val="22"/>
              </w:rPr>
              <w:t>资金、易损件、维修设备、维修人员、备件</w:t>
            </w:r>
          </w:p>
        </w:tc>
        <w:tc>
          <w:tcPr>
            <w:tcW w:w="954" w:type="dxa"/>
          </w:tcPr>
          <w:p w14:paraId="30618374">
            <w:pPr>
              <w:widowControl/>
              <w:jc w:val="center"/>
              <w:rPr>
                <w:rFonts w:ascii="宋体" w:hAnsi="宋体" w:cs="宋体"/>
                <w:color w:val="000000"/>
                <w:sz w:val="22"/>
                <w:szCs w:val="22"/>
              </w:rPr>
            </w:pPr>
            <w:r>
              <w:rPr>
                <w:rFonts w:hint="eastAsia" w:ascii="宋体" w:hAnsi="宋体" w:cs="宋体"/>
                <w:color w:val="000000"/>
                <w:sz w:val="22"/>
                <w:szCs w:val="22"/>
              </w:rPr>
              <w:t>综合行政部</w:t>
            </w:r>
          </w:p>
        </w:tc>
        <w:tc>
          <w:tcPr>
            <w:tcW w:w="992" w:type="dxa"/>
          </w:tcPr>
          <w:p w14:paraId="1B6462D4">
            <w:pPr>
              <w:widowControl/>
              <w:rPr>
                <w:rFonts w:ascii="宋体" w:hAnsi="宋体" w:cs="宋体"/>
                <w:color w:val="000000"/>
                <w:sz w:val="22"/>
                <w:szCs w:val="22"/>
              </w:rPr>
            </w:pPr>
            <w:r>
              <w:rPr>
                <w:rFonts w:hint="eastAsia" w:ascii="宋体" w:hAnsi="宋体" w:cs="宋体"/>
                <w:color w:val="000000"/>
                <w:sz w:val="22"/>
                <w:szCs w:val="22"/>
              </w:rPr>
              <w:t>先进、完好的设备；设备正常运行</w:t>
            </w:r>
          </w:p>
        </w:tc>
        <w:tc>
          <w:tcPr>
            <w:tcW w:w="1370" w:type="dxa"/>
          </w:tcPr>
          <w:p w14:paraId="41B29B0A">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设备维修保养计划达标率100%</w:t>
            </w:r>
          </w:p>
        </w:tc>
        <w:tc>
          <w:tcPr>
            <w:tcW w:w="1323" w:type="dxa"/>
          </w:tcPr>
          <w:p w14:paraId="6306594B">
            <w:pPr>
              <w:widowControl/>
              <w:jc w:val="center"/>
              <w:rPr>
                <w:rFonts w:ascii="宋体" w:hAnsi="宋体" w:cs="宋体"/>
                <w:color w:val="000000"/>
                <w:sz w:val="22"/>
                <w:szCs w:val="22"/>
              </w:rPr>
            </w:pPr>
            <w:r>
              <w:rPr>
                <w:rFonts w:hint="eastAsia" w:ascii="宋体" w:hAnsi="宋体" w:cs="宋体"/>
                <w:color w:val="000000"/>
                <w:sz w:val="22"/>
                <w:szCs w:val="22"/>
              </w:rPr>
              <w:t>设备维修保养计划达标率=实际维修保养的机台数/维修计划总台数</w:t>
            </w:r>
          </w:p>
        </w:tc>
      </w:tr>
      <w:tr w14:paraId="1590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787ABE3">
            <w:pPr>
              <w:rPr>
                <w:rFonts w:ascii="宋体" w:hAnsi="宋体" w:cs="Times New Roman"/>
                <w:sz w:val="22"/>
                <w:szCs w:val="22"/>
              </w:rPr>
            </w:pPr>
          </w:p>
        </w:tc>
        <w:tc>
          <w:tcPr>
            <w:tcW w:w="706" w:type="dxa"/>
            <w:vMerge w:val="continue"/>
            <w:vAlign w:val="center"/>
          </w:tcPr>
          <w:p w14:paraId="4F81A211">
            <w:pPr>
              <w:widowControl/>
              <w:jc w:val="left"/>
              <w:rPr>
                <w:rFonts w:ascii="宋体" w:hAnsi="宋体" w:cs="宋体"/>
                <w:color w:val="000000"/>
                <w:sz w:val="22"/>
                <w:szCs w:val="22"/>
              </w:rPr>
            </w:pPr>
          </w:p>
        </w:tc>
        <w:tc>
          <w:tcPr>
            <w:tcW w:w="738" w:type="dxa"/>
            <w:vAlign w:val="center"/>
          </w:tcPr>
          <w:p w14:paraId="4CB1BE1B">
            <w:pPr>
              <w:widowControl/>
              <w:jc w:val="left"/>
              <w:rPr>
                <w:rFonts w:ascii="宋体" w:hAnsi="宋体" w:cs="宋体"/>
                <w:color w:val="000000"/>
                <w:sz w:val="22"/>
                <w:szCs w:val="22"/>
              </w:rPr>
            </w:pPr>
            <w:r>
              <w:rPr>
                <w:rFonts w:hint="eastAsia" w:ascii="宋体" w:hAnsi="宋体" w:cs="宋体"/>
                <w:color w:val="000000"/>
                <w:sz w:val="22"/>
                <w:szCs w:val="22"/>
              </w:rPr>
              <w:t>监视测量设备和计量器具管理过程</w:t>
            </w:r>
          </w:p>
        </w:tc>
        <w:tc>
          <w:tcPr>
            <w:tcW w:w="3231" w:type="dxa"/>
            <w:vAlign w:val="center"/>
          </w:tcPr>
          <w:p w14:paraId="0CA9942D">
            <w:pPr>
              <w:widowControl/>
              <w:jc w:val="left"/>
              <w:rPr>
                <w:rFonts w:ascii="宋体" w:hAnsi="宋体" w:cs="宋体"/>
                <w:color w:val="000000"/>
                <w:sz w:val="22"/>
                <w:szCs w:val="22"/>
              </w:rPr>
            </w:pPr>
            <w:r>
              <w:rPr>
                <w:rFonts w:hint="eastAsia" w:ascii="宋体" w:hAnsi="宋体" w:cs="宋体"/>
                <w:color w:val="000000"/>
                <w:sz w:val="22"/>
                <w:szCs w:val="22"/>
              </w:rPr>
              <w:t>国家有关检定校准规程、检定校准计划、计量器具台账</w:t>
            </w:r>
          </w:p>
        </w:tc>
        <w:tc>
          <w:tcPr>
            <w:tcW w:w="2977" w:type="dxa"/>
            <w:vAlign w:val="center"/>
          </w:tcPr>
          <w:p w14:paraId="2F45E096">
            <w:pPr>
              <w:widowControl/>
              <w:jc w:val="left"/>
              <w:rPr>
                <w:rFonts w:ascii="宋体" w:hAnsi="宋体" w:cs="宋体"/>
                <w:color w:val="000000"/>
                <w:sz w:val="22"/>
                <w:szCs w:val="22"/>
              </w:rPr>
            </w:pPr>
            <w:r>
              <w:rPr>
                <w:rFonts w:hint="eastAsia" w:ascii="宋体" w:hAnsi="宋体" w:cs="宋体"/>
                <w:color w:val="000000"/>
                <w:sz w:val="22"/>
                <w:szCs w:val="22"/>
              </w:rPr>
              <w:t>检定校准记录表、校准报告、校准标贴</w:t>
            </w:r>
          </w:p>
        </w:tc>
        <w:tc>
          <w:tcPr>
            <w:tcW w:w="1455" w:type="dxa"/>
            <w:vAlign w:val="center"/>
          </w:tcPr>
          <w:p w14:paraId="477064B6">
            <w:pPr>
              <w:widowControl/>
              <w:jc w:val="left"/>
              <w:rPr>
                <w:rFonts w:ascii="宋体" w:hAnsi="宋体" w:cs="宋体"/>
                <w:color w:val="000000"/>
                <w:sz w:val="22"/>
                <w:szCs w:val="22"/>
              </w:rPr>
            </w:pPr>
            <w:r>
              <w:rPr>
                <w:rFonts w:hint="eastAsia" w:ascii="宋体" w:hAnsi="宋体" w:cs="宋体"/>
                <w:color w:val="000000"/>
                <w:sz w:val="22"/>
                <w:szCs w:val="22"/>
              </w:rPr>
              <w:t>标准计量器具装置、计量管理员</w:t>
            </w:r>
          </w:p>
        </w:tc>
        <w:tc>
          <w:tcPr>
            <w:tcW w:w="954" w:type="dxa"/>
            <w:vAlign w:val="center"/>
          </w:tcPr>
          <w:p w14:paraId="4A0216B5">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37809044">
            <w:pPr>
              <w:widowControl/>
              <w:jc w:val="left"/>
              <w:rPr>
                <w:rFonts w:ascii="宋体" w:hAnsi="宋体" w:cs="宋体"/>
                <w:color w:val="000000"/>
                <w:sz w:val="22"/>
                <w:szCs w:val="22"/>
              </w:rPr>
            </w:pPr>
            <w:r>
              <w:rPr>
                <w:rFonts w:hint="eastAsia" w:ascii="宋体" w:hAnsi="宋体" w:cs="宋体"/>
                <w:color w:val="000000"/>
                <w:sz w:val="22"/>
                <w:szCs w:val="22"/>
              </w:rPr>
              <w:t>仪器精密</w:t>
            </w:r>
          </w:p>
        </w:tc>
        <w:tc>
          <w:tcPr>
            <w:tcW w:w="1370" w:type="dxa"/>
            <w:vAlign w:val="center"/>
          </w:tcPr>
          <w:p w14:paraId="06B41FE4">
            <w:pPr>
              <w:widowControl/>
              <w:jc w:val="center"/>
              <w:rPr>
                <w:rFonts w:ascii="宋体" w:hAnsi="宋体" w:cs="宋体"/>
                <w:color w:val="000000"/>
                <w:sz w:val="22"/>
                <w:szCs w:val="22"/>
              </w:rPr>
            </w:pPr>
            <w:r>
              <w:rPr>
                <w:rFonts w:hint="eastAsia" w:ascii="宋体" w:hAnsi="宋体" w:cs="宋体"/>
                <w:color w:val="000000"/>
                <w:sz w:val="22"/>
                <w:szCs w:val="22"/>
              </w:rPr>
              <w:t>计量器具送检率100%</w:t>
            </w:r>
          </w:p>
        </w:tc>
        <w:tc>
          <w:tcPr>
            <w:tcW w:w="1323" w:type="dxa"/>
          </w:tcPr>
          <w:p w14:paraId="4FE1EE1A">
            <w:pPr>
              <w:widowControl/>
              <w:jc w:val="center"/>
              <w:rPr>
                <w:rFonts w:ascii="宋体" w:hAnsi="宋体" w:cs="宋体"/>
                <w:color w:val="000000"/>
                <w:sz w:val="22"/>
                <w:szCs w:val="22"/>
              </w:rPr>
            </w:pPr>
          </w:p>
        </w:tc>
      </w:tr>
      <w:tr w14:paraId="1401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2B98AE77">
            <w:pPr>
              <w:widowControl/>
              <w:jc w:val="center"/>
              <w:rPr>
                <w:rFonts w:ascii="宋体" w:hAnsi="宋体" w:cs="宋体"/>
                <w:color w:val="000000"/>
                <w:sz w:val="22"/>
                <w:szCs w:val="22"/>
              </w:rPr>
            </w:pPr>
          </w:p>
          <w:p w14:paraId="64ADA274">
            <w:pPr>
              <w:widowControl/>
              <w:jc w:val="center"/>
              <w:rPr>
                <w:rFonts w:ascii="宋体" w:hAnsi="宋体" w:cs="宋体"/>
                <w:color w:val="000000"/>
                <w:sz w:val="22"/>
                <w:szCs w:val="22"/>
              </w:rPr>
            </w:pPr>
          </w:p>
          <w:p w14:paraId="60587620">
            <w:pPr>
              <w:widowControl/>
              <w:jc w:val="center"/>
              <w:rPr>
                <w:rFonts w:ascii="宋体" w:hAnsi="宋体" w:cs="宋体"/>
                <w:color w:val="000000"/>
                <w:sz w:val="22"/>
                <w:szCs w:val="22"/>
              </w:rPr>
            </w:pPr>
          </w:p>
          <w:p w14:paraId="1D0D0FAD">
            <w:pPr>
              <w:widowControl/>
              <w:jc w:val="center"/>
              <w:rPr>
                <w:rFonts w:ascii="宋体" w:hAnsi="宋体" w:cs="宋体"/>
                <w:color w:val="000000"/>
                <w:sz w:val="22"/>
                <w:szCs w:val="22"/>
              </w:rPr>
            </w:pPr>
          </w:p>
          <w:p w14:paraId="51D8268D">
            <w:pPr>
              <w:widowControl/>
              <w:jc w:val="center"/>
              <w:rPr>
                <w:rFonts w:ascii="宋体" w:hAnsi="宋体" w:cs="宋体"/>
                <w:color w:val="000000"/>
                <w:sz w:val="22"/>
                <w:szCs w:val="22"/>
              </w:rPr>
            </w:pPr>
          </w:p>
          <w:p w14:paraId="4255AE40">
            <w:pPr>
              <w:widowControl/>
              <w:jc w:val="center"/>
              <w:rPr>
                <w:rFonts w:ascii="宋体" w:hAnsi="宋体" w:cs="宋体"/>
                <w:color w:val="000000"/>
                <w:sz w:val="22"/>
                <w:szCs w:val="22"/>
              </w:rPr>
            </w:pPr>
          </w:p>
          <w:p w14:paraId="0A0D3B59">
            <w:pPr>
              <w:widowControl/>
              <w:jc w:val="center"/>
              <w:rPr>
                <w:rFonts w:ascii="宋体" w:hAnsi="宋体" w:cs="宋体"/>
                <w:color w:val="000000"/>
                <w:sz w:val="22"/>
                <w:szCs w:val="22"/>
              </w:rPr>
            </w:pPr>
          </w:p>
          <w:p w14:paraId="2B4ADD09">
            <w:pPr>
              <w:widowControl/>
              <w:jc w:val="center"/>
              <w:rPr>
                <w:rFonts w:ascii="宋体" w:hAnsi="宋体" w:cs="宋体"/>
                <w:color w:val="000000"/>
                <w:sz w:val="22"/>
                <w:szCs w:val="22"/>
              </w:rPr>
            </w:pPr>
          </w:p>
          <w:p w14:paraId="1D376188">
            <w:pPr>
              <w:widowControl/>
              <w:jc w:val="center"/>
              <w:rPr>
                <w:rFonts w:ascii="宋体" w:hAnsi="宋体" w:cs="宋体"/>
                <w:color w:val="000000"/>
                <w:sz w:val="22"/>
                <w:szCs w:val="22"/>
              </w:rPr>
            </w:pPr>
            <w:r>
              <w:rPr>
                <w:rFonts w:hint="eastAsia" w:ascii="宋体" w:hAnsi="宋体" w:cs="宋体"/>
                <w:color w:val="000000"/>
                <w:sz w:val="22"/>
                <w:szCs w:val="22"/>
              </w:rPr>
              <w:t>支持过程</w:t>
            </w:r>
          </w:p>
          <w:p w14:paraId="115CA0B0">
            <w:pPr>
              <w:widowControl/>
              <w:jc w:val="center"/>
              <w:rPr>
                <w:rFonts w:ascii="宋体" w:hAnsi="宋体" w:cs="宋体"/>
                <w:color w:val="000000"/>
                <w:sz w:val="22"/>
                <w:szCs w:val="22"/>
              </w:rPr>
            </w:pPr>
          </w:p>
          <w:p w14:paraId="70A200A2">
            <w:pPr>
              <w:widowControl/>
              <w:jc w:val="center"/>
              <w:rPr>
                <w:rFonts w:ascii="宋体" w:hAnsi="宋体" w:cs="宋体"/>
                <w:color w:val="000000"/>
                <w:sz w:val="22"/>
                <w:szCs w:val="22"/>
              </w:rPr>
            </w:pPr>
          </w:p>
          <w:p w14:paraId="52279155">
            <w:pPr>
              <w:widowControl/>
              <w:jc w:val="center"/>
              <w:rPr>
                <w:rFonts w:ascii="宋体" w:hAnsi="宋体" w:cs="宋体"/>
                <w:color w:val="000000"/>
                <w:sz w:val="22"/>
                <w:szCs w:val="22"/>
              </w:rPr>
            </w:pPr>
          </w:p>
        </w:tc>
        <w:tc>
          <w:tcPr>
            <w:tcW w:w="706" w:type="dxa"/>
            <w:vAlign w:val="center"/>
          </w:tcPr>
          <w:p w14:paraId="47ED9D87">
            <w:pPr>
              <w:widowControl/>
              <w:jc w:val="left"/>
              <w:rPr>
                <w:rFonts w:ascii="宋体" w:hAnsi="宋体" w:cs="宋体"/>
                <w:color w:val="000000"/>
                <w:sz w:val="22"/>
                <w:szCs w:val="22"/>
              </w:rPr>
            </w:pPr>
            <w:r>
              <w:rPr>
                <w:rFonts w:hint="eastAsia" w:ascii="宋体" w:hAnsi="宋体" w:cs="宋体"/>
                <w:color w:val="000000"/>
                <w:sz w:val="22"/>
                <w:szCs w:val="22"/>
              </w:rPr>
              <w:t>资源管理过程</w:t>
            </w:r>
          </w:p>
        </w:tc>
        <w:tc>
          <w:tcPr>
            <w:tcW w:w="738" w:type="dxa"/>
            <w:vAlign w:val="center"/>
          </w:tcPr>
          <w:p w14:paraId="1F512ACA">
            <w:pPr>
              <w:widowControl/>
              <w:jc w:val="left"/>
              <w:rPr>
                <w:rFonts w:ascii="宋体" w:hAnsi="宋体" w:cs="宋体"/>
                <w:color w:val="000000"/>
                <w:sz w:val="22"/>
                <w:szCs w:val="22"/>
              </w:rPr>
            </w:pPr>
            <w:r>
              <w:rPr>
                <w:rFonts w:hint="eastAsia" w:ascii="宋体" w:hAnsi="宋体" w:cs="宋体"/>
                <w:color w:val="000000"/>
                <w:sz w:val="22"/>
                <w:szCs w:val="22"/>
              </w:rPr>
              <w:t>知识管理过程　</w:t>
            </w:r>
          </w:p>
        </w:tc>
        <w:tc>
          <w:tcPr>
            <w:tcW w:w="3231" w:type="dxa"/>
            <w:vAlign w:val="center"/>
          </w:tcPr>
          <w:p w14:paraId="3AD26B1D">
            <w:pPr>
              <w:widowControl/>
              <w:jc w:val="left"/>
              <w:rPr>
                <w:rFonts w:ascii="宋体" w:hAnsi="宋体" w:cs="宋体"/>
                <w:color w:val="000000"/>
                <w:sz w:val="22"/>
                <w:szCs w:val="22"/>
              </w:rPr>
            </w:pPr>
            <w:r>
              <w:rPr>
                <w:rFonts w:hint="eastAsia" w:ascii="宋体" w:hAnsi="宋体" w:cs="宋体"/>
                <w:color w:val="000000"/>
                <w:sz w:val="22"/>
                <w:szCs w:val="22"/>
              </w:rPr>
              <w:t>知识产权专利、经历、从失败和成功项目得到的经验教训和分享未形成文件的知识和经验，过程、产品和服务的改进结果；标准和规范，学术交流，专业会议，从顾客或外部供方收集的知识，与竞争对手比较</w:t>
            </w:r>
          </w:p>
        </w:tc>
        <w:tc>
          <w:tcPr>
            <w:tcW w:w="2977" w:type="dxa"/>
            <w:vAlign w:val="center"/>
          </w:tcPr>
          <w:p w14:paraId="0D712E63">
            <w:pPr>
              <w:widowControl/>
              <w:jc w:val="left"/>
              <w:rPr>
                <w:rFonts w:ascii="宋体" w:hAnsi="宋体" w:cs="宋体"/>
                <w:color w:val="000000"/>
                <w:sz w:val="22"/>
                <w:szCs w:val="22"/>
              </w:rPr>
            </w:pPr>
            <w:r>
              <w:rPr>
                <w:rFonts w:hint="eastAsia" w:ascii="宋体" w:hAnsi="宋体" w:cs="宋体"/>
                <w:color w:val="000000"/>
                <w:sz w:val="22"/>
                <w:szCs w:val="22"/>
              </w:rPr>
              <w:t>《知识清单》</w:t>
            </w:r>
          </w:p>
        </w:tc>
        <w:tc>
          <w:tcPr>
            <w:tcW w:w="1455" w:type="dxa"/>
            <w:vAlign w:val="center"/>
          </w:tcPr>
          <w:p w14:paraId="3A2BFB29">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0F7D59BC">
            <w:pPr>
              <w:widowControl/>
              <w:jc w:val="center"/>
              <w:rPr>
                <w:rFonts w:ascii="宋体" w:hAnsi="宋体" w:cs="宋体"/>
                <w:color w:val="000000"/>
                <w:sz w:val="22"/>
                <w:szCs w:val="22"/>
              </w:rPr>
            </w:pPr>
            <w:r>
              <w:rPr>
                <w:rFonts w:hint="eastAsia" w:ascii="宋体" w:hAnsi="宋体" w:cs="宋体"/>
                <w:color w:val="000000"/>
                <w:sz w:val="22"/>
                <w:szCs w:val="22"/>
              </w:rPr>
              <w:t>研发部</w:t>
            </w:r>
          </w:p>
          <w:p w14:paraId="0C966F4C">
            <w:pPr>
              <w:widowControl/>
              <w:jc w:val="center"/>
              <w:rPr>
                <w:rFonts w:ascii="宋体" w:hAnsi="宋体" w:cs="宋体"/>
                <w:color w:val="000000"/>
                <w:sz w:val="22"/>
                <w:szCs w:val="22"/>
              </w:rPr>
            </w:pPr>
          </w:p>
        </w:tc>
        <w:tc>
          <w:tcPr>
            <w:tcW w:w="992" w:type="dxa"/>
            <w:vAlign w:val="center"/>
          </w:tcPr>
          <w:p w14:paraId="38B59A2B">
            <w:pPr>
              <w:widowControl/>
              <w:jc w:val="left"/>
              <w:rPr>
                <w:rFonts w:ascii="宋体" w:hAnsi="宋体" w:cs="宋体"/>
                <w:color w:val="000000"/>
                <w:sz w:val="22"/>
                <w:szCs w:val="22"/>
              </w:rPr>
            </w:pPr>
            <w:r>
              <w:rPr>
                <w:rFonts w:hint="eastAsia" w:ascii="宋体" w:hAnsi="宋体" w:cs="宋体"/>
                <w:color w:val="000000"/>
                <w:sz w:val="22"/>
                <w:szCs w:val="22"/>
              </w:rPr>
              <w:t>有效的使用</w:t>
            </w:r>
          </w:p>
        </w:tc>
        <w:tc>
          <w:tcPr>
            <w:tcW w:w="1370" w:type="dxa"/>
            <w:vAlign w:val="center"/>
          </w:tcPr>
          <w:p w14:paraId="16B80994">
            <w:pPr>
              <w:widowControl/>
              <w:jc w:val="center"/>
              <w:rPr>
                <w:rFonts w:ascii="宋体" w:hAnsi="宋体" w:cs="宋体"/>
                <w:color w:val="000000"/>
                <w:sz w:val="22"/>
                <w:szCs w:val="22"/>
              </w:rPr>
            </w:pPr>
            <w:r>
              <w:rPr>
                <w:rFonts w:hint="eastAsia" w:ascii="宋体" w:hAnsi="宋体" w:cs="宋体"/>
                <w:color w:val="000000"/>
                <w:sz w:val="22"/>
                <w:szCs w:val="22"/>
              </w:rPr>
              <w:t>获取的及时性、使用的准确性</w:t>
            </w:r>
          </w:p>
        </w:tc>
        <w:tc>
          <w:tcPr>
            <w:tcW w:w="1323" w:type="dxa"/>
            <w:vAlign w:val="center"/>
          </w:tcPr>
          <w:p w14:paraId="4A6AAAE7">
            <w:pPr>
              <w:widowControl/>
              <w:jc w:val="center"/>
              <w:rPr>
                <w:rFonts w:ascii="宋体" w:hAnsi="宋体" w:cs="宋体"/>
                <w:color w:val="000000"/>
                <w:sz w:val="22"/>
                <w:szCs w:val="22"/>
              </w:rPr>
            </w:pPr>
            <w:r>
              <w:rPr>
                <w:rFonts w:hint="eastAsia" w:ascii="宋体" w:hAnsi="宋体" w:cs="宋体"/>
                <w:color w:val="000000"/>
                <w:sz w:val="22"/>
                <w:szCs w:val="22"/>
              </w:rPr>
              <w:t>每年一次进行查新、发布　</w:t>
            </w:r>
          </w:p>
        </w:tc>
      </w:tr>
      <w:tr w14:paraId="15B1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35F50BC8">
            <w:pPr>
              <w:rPr>
                <w:rFonts w:ascii="宋体" w:hAnsi="宋体" w:cs="Times New Roman"/>
                <w:sz w:val="22"/>
                <w:szCs w:val="22"/>
              </w:rPr>
            </w:pPr>
          </w:p>
        </w:tc>
        <w:tc>
          <w:tcPr>
            <w:tcW w:w="706" w:type="dxa"/>
            <w:vAlign w:val="center"/>
          </w:tcPr>
          <w:p w14:paraId="053C41F3">
            <w:pPr>
              <w:widowControl/>
              <w:jc w:val="left"/>
              <w:rPr>
                <w:rFonts w:ascii="宋体" w:hAnsi="宋体" w:cs="宋体"/>
                <w:color w:val="000000"/>
                <w:sz w:val="22"/>
                <w:szCs w:val="22"/>
              </w:rPr>
            </w:pPr>
            <w:r>
              <w:rPr>
                <w:rFonts w:hint="eastAsia" w:ascii="宋体" w:hAnsi="宋体" w:cs="宋体"/>
                <w:color w:val="000000"/>
                <w:sz w:val="22"/>
                <w:szCs w:val="22"/>
              </w:rPr>
              <w:t>成文信息（文件和记录控制）</w:t>
            </w:r>
          </w:p>
        </w:tc>
        <w:tc>
          <w:tcPr>
            <w:tcW w:w="738" w:type="dxa"/>
            <w:vAlign w:val="center"/>
          </w:tcPr>
          <w:p w14:paraId="1627D42E">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0EF5E801">
            <w:pPr>
              <w:widowControl/>
              <w:jc w:val="left"/>
              <w:rPr>
                <w:rFonts w:ascii="宋体" w:hAnsi="宋体" w:cs="宋体"/>
                <w:color w:val="000000"/>
                <w:sz w:val="22"/>
                <w:szCs w:val="22"/>
              </w:rPr>
            </w:pPr>
            <w:r>
              <w:rPr>
                <w:rFonts w:hint="eastAsia" w:ascii="宋体" w:hAnsi="宋体" w:cs="宋体"/>
                <w:color w:val="000000"/>
                <w:sz w:val="22"/>
                <w:szCs w:val="22"/>
              </w:rPr>
              <w:t>所有受控（内部、外部）文件及记录、标准、客户文件、相关法律法规/文件和记录的保存年限</w:t>
            </w:r>
          </w:p>
        </w:tc>
        <w:tc>
          <w:tcPr>
            <w:tcW w:w="2977" w:type="dxa"/>
            <w:vAlign w:val="center"/>
          </w:tcPr>
          <w:p w14:paraId="605917BF">
            <w:pPr>
              <w:widowControl/>
              <w:jc w:val="left"/>
              <w:rPr>
                <w:rFonts w:ascii="宋体" w:hAnsi="宋体" w:cs="宋体"/>
                <w:color w:val="000000"/>
                <w:sz w:val="22"/>
                <w:szCs w:val="22"/>
              </w:rPr>
            </w:pPr>
            <w:r>
              <w:rPr>
                <w:rFonts w:hint="eastAsia" w:ascii="宋体" w:hAnsi="宋体" w:cs="宋体"/>
                <w:color w:val="000000"/>
                <w:sz w:val="22"/>
                <w:szCs w:val="22"/>
              </w:rPr>
              <w:t>文件控制及发放清单；外来文件一览表；文件目录</w:t>
            </w:r>
          </w:p>
        </w:tc>
        <w:tc>
          <w:tcPr>
            <w:tcW w:w="1455" w:type="dxa"/>
            <w:vAlign w:val="center"/>
          </w:tcPr>
          <w:p w14:paraId="02E953A8">
            <w:pPr>
              <w:widowControl/>
              <w:jc w:val="left"/>
              <w:rPr>
                <w:rFonts w:ascii="宋体" w:hAnsi="宋体" w:cs="宋体"/>
                <w:color w:val="000000"/>
                <w:sz w:val="22"/>
                <w:szCs w:val="22"/>
              </w:rPr>
            </w:pPr>
            <w:r>
              <w:rPr>
                <w:rFonts w:hint="eastAsia" w:ascii="宋体" w:hAnsi="宋体" w:cs="宋体"/>
                <w:color w:val="000000"/>
                <w:sz w:val="22"/>
                <w:szCs w:val="22"/>
              </w:rPr>
              <w:t>电脑、文件柜、内部网络、复印机、人员</w:t>
            </w:r>
          </w:p>
        </w:tc>
        <w:tc>
          <w:tcPr>
            <w:tcW w:w="954" w:type="dxa"/>
            <w:vAlign w:val="center"/>
          </w:tcPr>
          <w:p w14:paraId="3F6DAA4A">
            <w:pPr>
              <w:widowControl/>
              <w:jc w:val="center"/>
              <w:rPr>
                <w:rFonts w:ascii="宋体" w:hAnsi="宋体" w:cs="宋体"/>
                <w:color w:val="000000"/>
                <w:sz w:val="22"/>
                <w:szCs w:val="22"/>
              </w:rPr>
            </w:pPr>
            <w:r>
              <w:rPr>
                <w:rFonts w:hint="eastAsia" w:ascii="宋体" w:hAnsi="宋体" w:cs="宋体"/>
                <w:color w:val="000000"/>
                <w:sz w:val="22"/>
                <w:szCs w:val="22"/>
              </w:rPr>
              <w:t>质量管理部</w:t>
            </w:r>
          </w:p>
          <w:p w14:paraId="4FEE3096">
            <w:pPr>
              <w:widowControl/>
              <w:jc w:val="center"/>
              <w:rPr>
                <w:rFonts w:ascii="宋体" w:hAnsi="宋体" w:cs="宋体"/>
                <w:color w:val="000000"/>
                <w:sz w:val="22"/>
                <w:szCs w:val="22"/>
              </w:rPr>
            </w:pPr>
            <w:r>
              <w:rPr>
                <w:rFonts w:hint="eastAsia" w:ascii="宋体" w:hAnsi="宋体" w:cs="宋体"/>
                <w:color w:val="000000"/>
                <w:sz w:val="22"/>
                <w:szCs w:val="22"/>
              </w:rPr>
              <w:t>研发部</w:t>
            </w:r>
          </w:p>
        </w:tc>
        <w:tc>
          <w:tcPr>
            <w:tcW w:w="992" w:type="dxa"/>
            <w:vAlign w:val="center"/>
          </w:tcPr>
          <w:p w14:paraId="748990A3">
            <w:pPr>
              <w:widowControl/>
              <w:jc w:val="left"/>
              <w:rPr>
                <w:rFonts w:ascii="宋体" w:hAnsi="宋体" w:cs="宋体"/>
                <w:color w:val="000000"/>
                <w:sz w:val="22"/>
                <w:szCs w:val="22"/>
              </w:rPr>
            </w:pPr>
            <w:r>
              <w:rPr>
                <w:rFonts w:hint="eastAsia" w:ascii="宋体" w:hAnsi="宋体" w:cs="宋体"/>
                <w:color w:val="000000"/>
                <w:sz w:val="22"/>
                <w:szCs w:val="22"/>
              </w:rPr>
              <w:t>清晰、完整、有效</w:t>
            </w:r>
          </w:p>
        </w:tc>
        <w:tc>
          <w:tcPr>
            <w:tcW w:w="1370" w:type="dxa"/>
            <w:vAlign w:val="center"/>
          </w:tcPr>
          <w:p w14:paraId="1F48A6BB">
            <w:pPr>
              <w:widowControl/>
              <w:jc w:val="left"/>
              <w:rPr>
                <w:rFonts w:ascii="宋体" w:hAnsi="宋体" w:cs="宋体"/>
                <w:color w:val="000000"/>
                <w:sz w:val="22"/>
                <w:szCs w:val="22"/>
              </w:rPr>
            </w:pPr>
            <w:r>
              <w:rPr>
                <w:rFonts w:hint="eastAsia" w:ascii="宋体" w:hAnsi="宋体" w:cs="宋体"/>
                <w:color w:val="000000"/>
                <w:sz w:val="22"/>
                <w:szCs w:val="22"/>
              </w:rPr>
              <w:t>文件和记录控制</w:t>
            </w:r>
          </w:p>
        </w:tc>
        <w:tc>
          <w:tcPr>
            <w:tcW w:w="1323" w:type="dxa"/>
            <w:vAlign w:val="center"/>
          </w:tcPr>
          <w:p w14:paraId="2C719F86">
            <w:pPr>
              <w:widowControl/>
              <w:jc w:val="center"/>
              <w:rPr>
                <w:rFonts w:ascii="宋体" w:hAnsi="宋体" w:cs="宋体"/>
                <w:color w:val="000000"/>
                <w:sz w:val="22"/>
                <w:szCs w:val="22"/>
              </w:rPr>
            </w:pPr>
          </w:p>
        </w:tc>
      </w:tr>
      <w:tr w14:paraId="439B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2BE4CB11">
            <w:pPr>
              <w:rPr>
                <w:rFonts w:ascii="宋体" w:hAnsi="宋体" w:cs="Times New Roman"/>
                <w:sz w:val="22"/>
                <w:szCs w:val="22"/>
              </w:rPr>
            </w:pPr>
          </w:p>
        </w:tc>
        <w:tc>
          <w:tcPr>
            <w:tcW w:w="706" w:type="dxa"/>
            <w:vAlign w:val="center"/>
          </w:tcPr>
          <w:p w14:paraId="4F376614">
            <w:pPr>
              <w:widowControl/>
              <w:jc w:val="left"/>
              <w:rPr>
                <w:rFonts w:ascii="宋体" w:hAnsi="宋体" w:cs="宋体"/>
                <w:color w:val="000000"/>
                <w:sz w:val="22"/>
                <w:szCs w:val="22"/>
              </w:rPr>
            </w:pPr>
            <w:r>
              <w:rPr>
                <w:rFonts w:hint="eastAsia" w:ascii="宋体" w:hAnsi="宋体" w:cs="宋体"/>
                <w:color w:val="000000"/>
                <w:sz w:val="22"/>
                <w:szCs w:val="22"/>
              </w:rPr>
              <w:t>质量信息管理</w:t>
            </w:r>
          </w:p>
        </w:tc>
        <w:tc>
          <w:tcPr>
            <w:tcW w:w="738" w:type="dxa"/>
            <w:vAlign w:val="center"/>
          </w:tcPr>
          <w:p w14:paraId="38E52345">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38A79FD">
            <w:pPr>
              <w:widowControl/>
              <w:jc w:val="left"/>
              <w:rPr>
                <w:rFonts w:ascii="宋体" w:hAnsi="宋体" w:cs="宋体"/>
                <w:color w:val="000000"/>
                <w:sz w:val="22"/>
                <w:szCs w:val="22"/>
              </w:rPr>
            </w:pPr>
            <w:r>
              <w:rPr>
                <w:rFonts w:hint="eastAsia" w:ascii="宋体" w:hAnsi="宋体" w:cs="宋体"/>
                <w:color w:val="000000"/>
                <w:sz w:val="22"/>
                <w:szCs w:val="22"/>
              </w:rPr>
              <w:t>质量的法律法规、不合格质量信息、交付和使用过程中的故障信息；各类质量事故报告</w:t>
            </w:r>
          </w:p>
        </w:tc>
        <w:tc>
          <w:tcPr>
            <w:tcW w:w="2977" w:type="dxa"/>
            <w:vAlign w:val="center"/>
          </w:tcPr>
          <w:p w14:paraId="3383AFAE">
            <w:pPr>
              <w:widowControl/>
              <w:jc w:val="left"/>
              <w:rPr>
                <w:rFonts w:ascii="宋体" w:hAnsi="宋体" w:cs="宋体"/>
                <w:color w:val="000000"/>
                <w:sz w:val="22"/>
                <w:szCs w:val="22"/>
              </w:rPr>
            </w:pPr>
            <w:r>
              <w:rPr>
                <w:rFonts w:hint="eastAsia" w:ascii="宋体" w:hAnsi="宋体" w:cs="宋体"/>
                <w:color w:val="000000"/>
                <w:sz w:val="22"/>
                <w:szCs w:val="22"/>
              </w:rPr>
              <w:t>不符合项整改措施表、质量信息反馈单</w:t>
            </w:r>
          </w:p>
        </w:tc>
        <w:tc>
          <w:tcPr>
            <w:tcW w:w="1455" w:type="dxa"/>
            <w:vAlign w:val="center"/>
          </w:tcPr>
          <w:p w14:paraId="5DD81271">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w:t>
            </w:r>
          </w:p>
        </w:tc>
        <w:tc>
          <w:tcPr>
            <w:tcW w:w="954" w:type="dxa"/>
            <w:vAlign w:val="center"/>
          </w:tcPr>
          <w:p w14:paraId="38B83901">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6D0EFCA0">
            <w:pPr>
              <w:widowControl/>
              <w:jc w:val="left"/>
              <w:rPr>
                <w:rFonts w:ascii="宋体" w:hAnsi="宋体" w:cs="宋体"/>
                <w:color w:val="000000"/>
                <w:sz w:val="22"/>
                <w:szCs w:val="22"/>
              </w:rPr>
            </w:pPr>
            <w:r>
              <w:rPr>
                <w:rFonts w:hint="eastAsia" w:ascii="宋体" w:hAnsi="宋体" w:cs="宋体"/>
                <w:color w:val="000000"/>
                <w:sz w:val="22"/>
                <w:szCs w:val="22"/>
              </w:rPr>
              <w:t>及时反馈回复</w:t>
            </w:r>
          </w:p>
        </w:tc>
        <w:tc>
          <w:tcPr>
            <w:tcW w:w="1370" w:type="dxa"/>
            <w:vAlign w:val="center"/>
          </w:tcPr>
          <w:p w14:paraId="0E6D3B8B">
            <w:pPr>
              <w:widowControl/>
              <w:jc w:val="center"/>
              <w:rPr>
                <w:rFonts w:ascii="宋体" w:hAnsi="宋体" w:cs="宋体"/>
                <w:color w:val="000000"/>
                <w:sz w:val="22"/>
                <w:szCs w:val="22"/>
              </w:rPr>
            </w:pPr>
            <w:r>
              <w:rPr>
                <w:rFonts w:hint="eastAsia" w:ascii="宋体" w:hAnsi="宋体" w:cs="宋体"/>
                <w:color w:val="000000"/>
                <w:sz w:val="22"/>
                <w:szCs w:val="22"/>
              </w:rPr>
              <w:t>纠正措施有效率100%</w:t>
            </w:r>
          </w:p>
        </w:tc>
        <w:tc>
          <w:tcPr>
            <w:tcW w:w="1323" w:type="dxa"/>
            <w:vAlign w:val="center"/>
          </w:tcPr>
          <w:p w14:paraId="46174C20">
            <w:pPr>
              <w:widowControl/>
              <w:jc w:val="center"/>
              <w:rPr>
                <w:rFonts w:ascii="宋体" w:hAnsi="宋体" w:cs="宋体"/>
                <w:color w:val="000000"/>
                <w:sz w:val="22"/>
                <w:szCs w:val="22"/>
              </w:rPr>
            </w:pPr>
          </w:p>
        </w:tc>
      </w:tr>
      <w:tr w14:paraId="0401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restart"/>
            <w:vAlign w:val="center"/>
          </w:tcPr>
          <w:p w14:paraId="09ED4DDC">
            <w:pPr>
              <w:jc w:val="center"/>
              <w:rPr>
                <w:rFonts w:ascii="宋体" w:hAnsi="宋体" w:cs="宋体"/>
                <w:color w:val="000000"/>
                <w:sz w:val="22"/>
                <w:szCs w:val="22"/>
              </w:rPr>
            </w:pPr>
            <w:r>
              <w:rPr>
                <w:rFonts w:hint="eastAsia" w:ascii="宋体" w:hAnsi="宋体" w:cs="宋体"/>
                <w:color w:val="000000"/>
                <w:sz w:val="22"/>
                <w:szCs w:val="22"/>
              </w:rPr>
              <w:t>管理过程</w:t>
            </w:r>
          </w:p>
        </w:tc>
        <w:tc>
          <w:tcPr>
            <w:tcW w:w="706" w:type="dxa"/>
            <w:vAlign w:val="center"/>
          </w:tcPr>
          <w:p w14:paraId="235551D8">
            <w:pPr>
              <w:widowControl/>
              <w:jc w:val="left"/>
              <w:rPr>
                <w:rFonts w:ascii="宋体" w:hAnsi="宋体" w:cs="宋体"/>
                <w:color w:val="000000"/>
                <w:sz w:val="22"/>
                <w:szCs w:val="22"/>
              </w:rPr>
            </w:pPr>
            <w:r>
              <w:rPr>
                <w:rFonts w:hint="eastAsia" w:ascii="宋体" w:hAnsi="宋体" w:cs="宋体"/>
                <w:color w:val="000000"/>
                <w:sz w:val="22"/>
                <w:szCs w:val="22"/>
              </w:rPr>
              <w:t>风险和机遇的应对措施及运行策划</w:t>
            </w:r>
          </w:p>
        </w:tc>
        <w:tc>
          <w:tcPr>
            <w:tcW w:w="738" w:type="dxa"/>
            <w:vAlign w:val="center"/>
          </w:tcPr>
          <w:p w14:paraId="232D39FE">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1DAB99B">
            <w:pPr>
              <w:widowControl/>
              <w:jc w:val="left"/>
              <w:rPr>
                <w:rFonts w:ascii="宋体" w:hAnsi="宋体" w:cs="宋体"/>
                <w:color w:val="000000"/>
                <w:sz w:val="22"/>
                <w:szCs w:val="22"/>
              </w:rPr>
            </w:pPr>
            <w:r>
              <w:rPr>
                <w:rFonts w:hint="eastAsia" w:ascii="宋体" w:hAnsi="宋体" w:cs="宋体"/>
                <w:color w:val="000000"/>
                <w:sz w:val="22"/>
                <w:szCs w:val="22"/>
              </w:rPr>
              <w:t>组织内外部环境变化、相关方期望和需求变化</w:t>
            </w:r>
          </w:p>
        </w:tc>
        <w:tc>
          <w:tcPr>
            <w:tcW w:w="2977" w:type="dxa"/>
            <w:vAlign w:val="center"/>
          </w:tcPr>
          <w:p w14:paraId="4A5C9C48">
            <w:pPr>
              <w:widowControl/>
              <w:jc w:val="left"/>
              <w:rPr>
                <w:rFonts w:ascii="宋体" w:hAnsi="宋体" w:cs="宋体"/>
                <w:color w:val="000000"/>
                <w:sz w:val="22"/>
                <w:szCs w:val="22"/>
              </w:rPr>
            </w:pPr>
            <w:r>
              <w:rPr>
                <w:rFonts w:hint="eastAsia" w:ascii="宋体" w:hAnsi="宋体" w:cs="宋体"/>
                <w:color w:val="000000"/>
                <w:sz w:val="22"/>
                <w:szCs w:val="22"/>
              </w:rPr>
              <w:t>《风险和机遇识别与应对措施表》《风险识别评价表》</w:t>
            </w:r>
          </w:p>
        </w:tc>
        <w:tc>
          <w:tcPr>
            <w:tcW w:w="1455" w:type="dxa"/>
            <w:vAlign w:val="center"/>
          </w:tcPr>
          <w:p w14:paraId="35C944E2">
            <w:pPr>
              <w:widowControl/>
              <w:jc w:val="left"/>
              <w:rPr>
                <w:rFonts w:ascii="宋体" w:hAnsi="宋体" w:cs="宋体"/>
                <w:color w:val="000000"/>
                <w:sz w:val="22"/>
                <w:szCs w:val="22"/>
              </w:rPr>
            </w:pPr>
            <w:r>
              <w:rPr>
                <w:rFonts w:hint="eastAsia" w:ascii="宋体" w:hAnsi="宋体" w:cs="宋体"/>
                <w:color w:val="000000"/>
                <w:sz w:val="22"/>
                <w:szCs w:val="22"/>
              </w:rPr>
              <w:t>电脑、办公设施和场所、人员、法律法规</w:t>
            </w:r>
          </w:p>
        </w:tc>
        <w:tc>
          <w:tcPr>
            <w:tcW w:w="954" w:type="dxa"/>
            <w:vAlign w:val="center"/>
          </w:tcPr>
          <w:p w14:paraId="396C4EBC">
            <w:pPr>
              <w:widowControl/>
              <w:jc w:val="center"/>
              <w:rPr>
                <w:rFonts w:ascii="宋体" w:hAnsi="宋体" w:cs="宋体"/>
                <w:sz w:val="22"/>
                <w:szCs w:val="22"/>
              </w:rPr>
            </w:pPr>
            <w:r>
              <w:rPr>
                <w:rFonts w:hint="eastAsia" w:ascii="宋体" w:hAnsi="宋体" w:cs="宋体"/>
                <w:sz w:val="22"/>
                <w:szCs w:val="22"/>
              </w:rPr>
              <w:t>各部门</w:t>
            </w:r>
          </w:p>
        </w:tc>
        <w:tc>
          <w:tcPr>
            <w:tcW w:w="992" w:type="dxa"/>
            <w:vAlign w:val="center"/>
          </w:tcPr>
          <w:p w14:paraId="6DE3CF0E">
            <w:pPr>
              <w:widowControl/>
              <w:jc w:val="left"/>
              <w:rPr>
                <w:rFonts w:ascii="宋体" w:hAnsi="宋体" w:cs="宋体"/>
                <w:color w:val="000000"/>
                <w:sz w:val="22"/>
                <w:szCs w:val="22"/>
              </w:rPr>
            </w:pPr>
            <w:r>
              <w:rPr>
                <w:rFonts w:hint="eastAsia" w:ascii="宋体" w:hAnsi="宋体" w:cs="宋体"/>
                <w:color w:val="000000"/>
                <w:sz w:val="22"/>
                <w:szCs w:val="22"/>
              </w:rPr>
              <w:t>全面完整</w:t>
            </w:r>
          </w:p>
        </w:tc>
        <w:tc>
          <w:tcPr>
            <w:tcW w:w="1370" w:type="dxa"/>
            <w:vAlign w:val="center"/>
          </w:tcPr>
          <w:p w14:paraId="7007CB85">
            <w:pPr>
              <w:widowControl/>
              <w:jc w:val="center"/>
              <w:rPr>
                <w:rFonts w:ascii="宋体" w:hAnsi="宋体" w:cs="宋体"/>
                <w:color w:val="000000"/>
                <w:sz w:val="22"/>
                <w:szCs w:val="22"/>
              </w:rPr>
            </w:pPr>
            <w:r>
              <w:rPr>
                <w:rFonts w:hint="eastAsia" w:ascii="宋体" w:hAnsi="宋体" w:cs="宋体"/>
                <w:color w:val="000000"/>
                <w:sz w:val="22"/>
                <w:szCs w:val="22"/>
              </w:rPr>
              <w:t>风险和机遇有效识别率100%</w:t>
            </w:r>
          </w:p>
        </w:tc>
        <w:tc>
          <w:tcPr>
            <w:tcW w:w="1323" w:type="dxa"/>
            <w:vAlign w:val="center"/>
          </w:tcPr>
          <w:p w14:paraId="7F0C6ED2">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71FD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1E5E790">
            <w:pPr>
              <w:jc w:val="center"/>
              <w:rPr>
                <w:rFonts w:ascii="宋体" w:hAnsi="宋体" w:cs="Times New Roman"/>
                <w:sz w:val="22"/>
                <w:szCs w:val="22"/>
              </w:rPr>
            </w:pPr>
          </w:p>
        </w:tc>
        <w:tc>
          <w:tcPr>
            <w:tcW w:w="706" w:type="dxa"/>
            <w:vAlign w:val="center"/>
          </w:tcPr>
          <w:p w14:paraId="070F4552">
            <w:pPr>
              <w:widowControl/>
              <w:jc w:val="left"/>
              <w:rPr>
                <w:rFonts w:ascii="宋体" w:hAnsi="宋体" w:cs="宋体"/>
                <w:color w:val="000000"/>
                <w:sz w:val="22"/>
                <w:szCs w:val="22"/>
              </w:rPr>
            </w:pPr>
            <w:r>
              <w:rPr>
                <w:rFonts w:hint="eastAsia" w:ascii="宋体" w:hAnsi="宋体" w:cs="宋体"/>
                <w:color w:val="000000"/>
                <w:sz w:val="22"/>
                <w:szCs w:val="22"/>
              </w:rPr>
              <w:t>质量目标及其实施的策划</w:t>
            </w:r>
          </w:p>
        </w:tc>
        <w:tc>
          <w:tcPr>
            <w:tcW w:w="738" w:type="dxa"/>
            <w:vAlign w:val="center"/>
          </w:tcPr>
          <w:p w14:paraId="4C21A7A2">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2CC51491">
            <w:pPr>
              <w:widowControl/>
              <w:jc w:val="left"/>
              <w:rPr>
                <w:rFonts w:ascii="宋体" w:hAnsi="宋体" w:cs="宋体"/>
                <w:color w:val="000000"/>
                <w:sz w:val="22"/>
                <w:szCs w:val="22"/>
              </w:rPr>
            </w:pPr>
            <w:r>
              <w:rPr>
                <w:rFonts w:hint="eastAsia" w:ascii="宋体" w:hAnsi="宋体" w:cs="宋体"/>
                <w:color w:val="000000"/>
                <w:sz w:val="22"/>
                <w:szCs w:val="22"/>
              </w:rPr>
              <w:t>上年度质量目标情况统计分析；公司内外部环境分析；相关方需求分析</w:t>
            </w:r>
          </w:p>
        </w:tc>
        <w:tc>
          <w:tcPr>
            <w:tcW w:w="2977" w:type="dxa"/>
            <w:vAlign w:val="center"/>
          </w:tcPr>
          <w:p w14:paraId="0FE509C7">
            <w:pPr>
              <w:widowControl/>
              <w:jc w:val="left"/>
              <w:rPr>
                <w:rFonts w:ascii="宋体" w:hAnsi="宋体" w:cs="宋体"/>
                <w:color w:val="000000"/>
                <w:sz w:val="22"/>
                <w:szCs w:val="22"/>
              </w:rPr>
            </w:pPr>
            <w:r>
              <w:rPr>
                <w:rFonts w:hint="eastAsia" w:ascii="宋体" w:hAnsi="宋体" w:cs="宋体"/>
                <w:color w:val="000000"/>
                <w:sz w:val="22"/>
                <w:szCs w:val="22"/>
              </w:rPr>
              <w:t>新年度质量目标；质量管理部门分解</w:t>
            </w:r>
          </w:p>
        </w:tc>
        <w:tc>
          <w:tcPr>
            <w:tcW w:w="1455" w:type="dxa"/>
            <w:vAlign w:val="center"/>
          </w:tcPr>
          <w:p w14:paraId="39E43811">
            <w:pPr>
              <w:widowControl/>
              <w:jc w:val="left"/>
              <w:rPr>
                <w:rFonts w:ascii="宋体" w:hAnsi="宋体" w:cs="宋体"/>
                <w:color w:val="000000"/>
                <w:sz w:val="22"/>
                <w:szCs w:val="22"/>
              </w:rPr>
            </w:pPr>
            <w:r>
              <w:rPr>
                <w:rFonts w:hint="eastAsia" w:ascii="宋体" w:hAnsi="宋体" w:cs="宋体"/>
                <w:color w:val="000000"/>
                <w:sz w:val="22"/>
                <w:szCs w:val="22"/>
              </w:rPr>
              <w:t>管理评审会议</w:t>
            </w:r>
          </w:p>
        </w:tc>
        <w:tc>
          <w:tcPr>
            <w:tcW w:w="954" w:type="dxa"/>
            <w:vAlign w:val="center"/>
          </w:tcPr>
          <w:p w14:paraId="06E470A7">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A0B0CC4">
            <w:pPr>
              <w:widowControl/>
              <w:jc w:val="left"/>
              <w:rPr>
                <w:rFonts w:ascii="宋体" w:hAnsi="宋体" w:cs="宋体"/>
                <w:color w:val="000000"/>
                <w:sz w:val="22"/>
                <w:szCs w:val="22"/>
              </w:rPr>
            </w:pPr>
            <w:r>
              <w:rPr>
                <w:rFonts w:hint="eastAsia" w:ascii="宋体" w:hAnsi="宋体" w:cs="宋体"/>
                <w:color w:val="000000"/>
                <w:sz w:val="22"/>
                <w:szCs w:val="22"/>
              </w:rPr>
              <w:t>质量目标适宜，可测量</w:t>
            </w:r>
          </w:p>
        </w:tc>
        <w:tc>
          <w:tcPr>
            <w:tcW w:w="1370" w:type="dxa"/>
            <w:vAlign w:val="center"/>
          </w:tcPr>
          <w:p w14:paraId="2066367A">
            <w:pPr>
              <w:widowControl/>
              <w:jc w:val="center"/>
              <w:rPr>
                <w:rFonts w:ascii="宋体" w:hAnsi="宋体" w:cs="宋体"/>
                <w:color w:val="000000"/>
                <w:sz w:val="22"/>
                <w:szCs w:val="22"/>
              </w:rPr>
            </w:pPr>
            <w:r>
              <w:rPr>
                <w:rFonts w:hint="eastAsia" w:ascii="宋体" w:hAnsi="宋体" w:cs="宋体"/>
                <w:color w:val="000000"/>
                <w:sz w:val="22"/>
                <w:szCs w:val="22"/>
              </w:rPr>
              <w:t>数据提供完成率100%</w:t>
            </w:r>
          </w:p>
        </w:tc>
        <w:tc>
          <w:tcPr>
            <w:tcW w:w="1323" w:type="dxa"/>
            <w:vAlign w:val="center"/>
          </w:tcPr>
          <w:p w14:paraId="4197EE22">
            <w:pPr>
              <w:widowControl/>
              <w:jc w:val="center"/>
              <w:rPr>
                <w:rFonts w:ascii="宋体" w:hAnsi="宋体" w:cs="宋体"/>
                <w:color w:val="000000"/>
                <w:sz w:val="22"/>
                <w:szCs w:val="22"/>
              </w:rPr>
            </w:pPr>
            <w:r>
              <w:rPr>
                <w:rFonts w:hint="eastAsia" w:ascii="宋体" w:hAnsi="宋体" w:cs="宋体"/>
                <w:color w:val="000000"/>
                <w:sz w:val="22"/>
                <w:szCs w:val="22"/>
              </w:rPr>
              <w:t>　</w:t>
            </w:r>
          </w:p>
        </w:tc>
      </w:tr>
      <w:tr w14:paraId="5949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2469309">
            <w:pPr>
              <w:jc w:val="center"/>
              <w:rPr>
                <w:rFonts w:ascii="宋体" w:hAnsi="宋体" w:cs="Times New Roman"/>
                <w:sz w:val="22"/>
                <w:szCs w:val="22"/>
              </w:rPr>
            </w:pPr>
          </w:p>
        </w:tc>
        <w:tc>
          <w:tcPr>
            <w:tcW w:w="706" w:type="dxa"/>
            <w:vAlign w:val="center"/>
          </w:tcPr>
          <w:p w14:paraId="2F8F12D8">
            <w:pPr>
              <w:widowControl/>
              <w:jc w:val="left"/>
              <w:rPr>
                <w:rFonts w:ascii="宋体" w:hAnsi="宋体" w:cs="宋体"/>
                <w:color w:val="000000"/>
                <w:sz w:val="22"/>
                <w:szCs w:val="22"/>
              </w:rPr>
            </w:pPr>
            <w:r>
              <w:rPr>
                <w:rFonts w:hint="eastAsia" w:ascii="宋体" w:hAnsi="宋体" w:cs="宋体"/>
                <w:color w:val="000000"/>
                <w:sz w:val="22"/>
                <w:szCs w:val="22"/>
              </w:rPr>
              <w:t>监视测量分析与评价</w:t>
            </w:r>
          </w:p>
        </w:tc>
        <w:tc>
          <w:tcPr>
            <w:tcW w:w="738" w:type="dxa"/>
            <w:vAlign w:val="center"/>
          </w:tcPr>
          <w:p w14:paraId="7132EBEB">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7BEBD8B">
            <w:pPr>
              <w:widowControl/>
              <w:jc w:val="left"/>
              <w:rPr>
                <w:rFonts w:ascii="宋体" w:hAnsi="宋体" w:cs="宋体"/>
                <w:color w:val="000000"/>
                <w:sz w:val="22"/>
                <w:szCs w:val="22"/>
              </w:rPr>
            </w:pPr>
            <w:r>
              <w:rPr>
                <w:rFonts w:hint="eastAsia" w:ascii="宋体" w:hAnsi="宋体"/>
                <w:sz w:val="22"/>
                <w:szCs w:val="22"/>
              </w:rPr>
              <w:t>质量管理体系运行、运行的策划过程、产品和服务的设计开发过程、生产和服务提供过程、人力资源管理、质量经济性、供方管理、顾客满意等</w:t>
            </w:r>
            <w:r>
              <w:rPr>
                <w:rFonts w:hint="eastAsia" w:ascii="宋体" w:hAnsi="宋体" w:cs="宋体"/>
                <w:sz w:val="22"/>
                <w:szCs w:val="22"/>
              </w:rPr>
              <w:t>按照统计要</w:t>
            </w:r>
            <w:r>
              <w:rPr>
                <w:rFonts w:hint="eastAsia" w:ascii="宋体" w:hAnsi="宋体" w:cs="宋体"/>
                <w:color w:val="000000"/>
                <w:sz w:val="22"/>
                <w:szCs w:val="22"/>
              </w:rPr>
              <w:t>求进行数据分析的数据来源</w:t>
            </w:r>
          </w:p>
        </w:tc>
        <w:tc>
          <w:tcPr>
            <w:tcW w:w="2977" w:type="dxa"/>
            <w:vAlign w:val="center"/>
          </w:tcPr>
          <w:p w14:paraId="33DA367B">
            <w:pPr>
              <w:widowControl/>
              <w:jc w:val="left"/>
              <w:rPr>
                <w:rFonts w:ascii="宋体" w:hAnsi="宋体" w:cs="宋体"/>
                <w:color w:val="000000"/>
                <w:sz w:val="22"/>
                <w:szCs w:val="22"/>
              </w:rPr>
            </w:pPr>
            <w:r>
              <w:rPr>
                <w:rFonts w:hint="eastAsia" w:ascii="宋体" w:hAnsi="宋体" w:cs="宋体"/>
                <w:color w:val="000000"/>
                <w:sz w:val="22"/>
                <w:szCs w:val="22"/>
              </w:rPr>
              <w:t>监视和测量记录表</w:t>
            </w:r>
          </w:p>
          <w:p w14:paraId="3C6C4B63">
            <w:pPr>
              <w:widowControl/>
              <w:jc w:val="left"/>
              <w:rPr>
                <w:rFonts w:ascii="宋体" w:hAnsi="宋体" w:cs="宋体"/>
                <w:color w:val="000000"/>
                <w:sz w:val="22"/>
                <w:szCs w:val="22"/>
              </w:rPr>
            </w:pPr>
            <w:r>
              <w:rPr>
                <w:rFonts w:hint="eastAsia" w:ascii="宋体" w:hAnsi="宋体" w:cs="宋体"/>
                <w:color w:val="000000"/>
                <w:sz w:val="22"/>
                <w:szCs w:val="22"/>
              </w:rPr>
              <w:t>资料分析结果和改进建议</w:t>
            </w:r>
          </w:p>
          <w:p w14:paraId="343CA7B1">
            <w:pPr>
              <w:widowControl/>
              <w:jc w:val="left"/>
              <w:rPr>
                <w:rFonts w:ascii="宋体" w:hAnsi="宋体" w:cs="宋体"/>
                <w:color w:val="000000"/>
                <w:sz w:val="22"/>
                <w:szCs w:val="22"/>
              </w:rPr>
            </w:pPr>
          </w:p>
        </w:tc>
        <w:tc>
          <w:tcPr>
            <w:tcW w:w="1455" w:type="dxa"/>
            <w:vAlign w:val="center"/>
          </w:tcPr>
          <w:p w14:paraId="6E7278E1">
            <w:pPr>
              <w:widowControl/>
              <w:jc w:val="left"/>
              <w:rPr>
                <w:rFonts w:ascii="宋体" w:hAnsi="宋体" w:cs="宋体"/>
                <w:color w:val="000000"/>
                <w:sz w:val="22"/>
                <w:szCs w:val="22"/>
              </w:rPr>
            </w:pPr>
            <w:r>
              <w:rPr>
                <w:rFonts w:hint="eastAsia" w:ascii="宋体" w:hAnsi="宋体" w:cs="宋体"/>
                <w:color w:val="000000"/>
                <w:sz w:val="22"/>
                <w:szCs w:val="22"/>
              </w:rPr>
              <w:t>电脑、办公设施和场所</w:t>
            </w:r>
          </w:p>
        </w:tc>
        <w:tc>
          <w:tcPr>
            <w:tcW w:w="954" w:type="dxa"/>
            <w:vAlign w:val="center"/>
          </w:tcPr>
          <w:p w14:paraId="14A10775">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6E92D062">
            <w:pPr>
              <w:widowControl/>
              <w:jc w:val="left"/>
              <w:rPr>
                <w:rFonts w:ascii="宋体" w:hAnsi="宋体" w:cs="宋体"/>
                <w:color w:val="000000"/>
                <w:sz w:val="22"/>
                <w:szCs w:val="22"/>
              </w:rPr>
            </w:pPr>
            <w:r>
              <w:rPr>
                <w:rFonts w:hint="eastAsia" w:ascii="宋体" w:hAnsi="宋体" w:cs="宋体"/>
                <w:color w:val="000000"/>
                <w:sz w:val="22"/>
                <w:szCs w:val="22"/>
              </w:rPr>
              <w:t>有效的数据统计、分析评价</w:t>
            </w:r>
          </w:p>
        </w:tc>
        <w:tc>
          <w:tcPr>
            <w:tcW w:w="1370" w:type="dxa"/>
            <w:vAlign w:val="center"/>
          </w:tcPr>
          <w:p w14:paraId="443FC2FF">
            <w:pPr>
              <w:widowControl/>
              <w:jc w:val="center"/>
              <w:rPr>
                <w:rFonts w:ascii="宋体" w:hAnsi="宋体" w:cs="宋体"/>
                <w:color w:val="000000"/>
                <w:sz w:val="22"/>
                <w:szCs w:val="22"/>
              </w:rPr>
            </w:pPr>
            <w:r>
              <w:rPr>
                <w:rFonts w:hint="eastAsia" w:ascii="宋体" w:hAnsi="宋体" w:cs="宋体"/>
                <w:color w:val="000000"/>
                <w:sz w:val="22"/>
                <w:szCs w:val="22"/>
              </w:rPr>
              <w:t>各过程绩效指标</w:t>
            </w:r>
          </w:p>
        </w:tc>
        <w:tc>
          <w:tcPr>
            <w:tcW w:w="1323" w:type="dxa"/>
            <w:vAlign w:val="center"/>
          </w:tcPr>
          <w:p w14:paraId="3C2581C7">
            <w:pPr>
              <w:widowControl/>
              <w:jc w:val="center"/>
              <w:rPr>
                <w:rFonts w:ascii="宋体" w:hAnsi="宋体" w:cs="宋体"/>
                <w:color w:val="000000"/>
                <w:sz w:val="22"/>
                <w:szCs w:val="22"/>
              </w:rPr>
            </w:pPr>
            <w:r>
              <w:rPr>
                <w:rFonts w:hint="eastAsia" w:ascii="宋体" w:hAnsi="宋体" w:cs="宋体"/>
                <w:color w:val="000000"/>
                <w:sz w:val="22"/>
                <w:szCs w:val="22"/>
              </w:rPr>
              <w:t>是否满足能力要求　</w:t>
            </w:r>
          </w:p>
        </w:tc>
      </w:tr>
      <w:tr w14:paraId="0BAE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43025D71">
            <w:pPr>
              <w:jc w:val="center"/>
              <w:rPr>
                <w:rFonts w:ascii="宋体" w:hAnsi="宋体" w:cs="Times New Roman"/>
                <w:sz w:val="22"/>
                <w:szCs w:val="22"/>
              </w:rPr>
            </w:pPr>
          </w:p>
        </w:tc>
        <w:tc>
          <w:tcPr>
            <w:tcW w:w="706" w:type="dxa"/>
            <w:vAlign w:val="center"/>
          </w:tcPr>
          <w:p w14:paraId="34AE18D2">
            <w:pPr>
              <w:widowControl/>
              <w:jc w:val="left"/>
              <w:rPr>
                <w:rFonts w:ascii="宋体" w:hAnsi="宋体" w:cs="宋体"/>
                <w:color w:val="000000"/>
                <w:sz w:val="22"/>
                <w:szCs w:val="22"/>
              </w:rPr>
            </w:pPr>
            <w:r>
              <w:rPr>
                <w:rFonts w:hint="eastAsia" w:ascii="宋体" w:hAnsi="宋体" w:cs="宋体"/>
                <w:color w:val="000000"/>
                <w:sz w:val="22"/>
                <w:szCs w:val="22"/>
              </w:rPr>
              <w:t>内部审核</w:t>
            </w:r>
          </w:p>
        </w:tc>
        <w:tc>
          <w:tcPr>
            <w:tcW w:w="738" w:type="dxa"/>
            <w:vAlign w:val="center"/>
          </w:tcPr>
          <w:p w14:paraId="10BFE36C">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4D4B95D6">
            <w:pPr>
              <w:widowControl/>
              <w:jc w:val="left"/>
              <w:rPr>
                <w:rFonts w:ascii="宋体" w:hAnsi="宋体" w:cs="宋体"/>
                <w:color w:val="000000"/>
                <w:sz w:val="22"/>
                <w:szCs w:val="22"/>
              </w:rPr>
            </w:pPr>
            <w:r>
              <w:rPr>
                <w:rFonts w:hint="eastAsia" w:ascii="宋体" w:hAnsi="宋体" w:cs="宋体"/>
                <w:color w:val="000000"/>
                <w:sz w:val="22"/>
                <w:szCs w:val="22"/>
              </w:rPr>
              <w:t>内审计划；产品出现重大问题；内、外部顾客发生重大投诉或抱怨；产品或工序出现系统性问题</w:t>
            </w:r>
          </w:p>
          <w:p w14:paraId="035E8CD4">
            <w:pPr>
              <w:widowControl/>
              <w:jc w:val="left"/>
              <w:rPr>
                <w:rFonts w:ascii="宋体" w:hAnsi="宋体" w:cs="宋体"/>
                <w:color w:val="000000"/>
                <w:sz w:val="22"/>
                <w:szCs w:val="22"/>
              </w:rPr>
            </w:pPr>
          </w:p>
        </w:tc>
        <w:tc>
          <w:tcPr>
            <w:tcW w:w="2977" w:type="dxa"/>
            <w:vAlign w:val="center"/>
          </w:tcPr>
          <w:p w14:paraId="1540F1C9">
            <w:pPr>
              <w:widowControl/>
              <w:jc w:val="left"/>
              <w:rPr>
                <w:rFonts w:ascii="宋体" w:hAnsi="宋体" w:cs="宋体"/>
                <w:color w:val="000000"/>
                <w:sz w:val="22"/>
                <w:szCs w:val="22"/>
              </w:rPr>
            </w:pPr>
            <w:r>
              <w:rPr>
                <w:rFonts w:hint="eastAsia" w:ascii="宋体" w:hAnsi="宋体" w:cs="宋体"/>
                <w:color w:val="000000"/>
                <w:sz w:val="22"/>
                <w:szCs w:val="22"/>
              </w:rPr>
              <w:t>内部审核报告、审核不符合项报告</w:t>
            </w:r>
          </w:p>
        </w:tc>
        <w:tc>
          <w:tcPr>
            <w:tcW w:w="1455" w:type="dxa"/>
            <w:vAlign w:val="center"/>
          </w:tcPr>
          <w:p w14:paraId="3CF9C4B9">
            <w:pPr>
              <w:widowControl/>
              <w:jc w:val="left"/>
              <w:rPr>
                <w:rFonts w:ascii="宋体" w:hAnsi="宋体" w:cs="宋体"/>
                <w:color w:val="000000"/>
                <w:sz w:val="22"/>
                <w:szCs w:val="22"/>
              </w:rPr>
            </w:pPr>
            <w:r>
              <w:rPr>
                <w:rFonts w:hint="eastAsia" w:ascii="宋体" w:hAnsi="宋体" w:cs="宋体"/>
                <w:color w:val="000000"/>
                <w:sz w:val="22"/>
                <w:szCs w:val="22"/>
              </w:rPr>
              <w:t>电脑、内审员、办公软件及场所</w:t>
            </w:r>
          </w:p>
        </w:tc>
        <w:tc>
          <w:tcPr>
            <w:tcW w:w="954" w:type="dxa"/>
            <w:vAlign w:val="center"/>
          </w:tcPr>
          <w:p w14:paraId="4AC6406D">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54421B94">
            <w:pPr>
              <w:widowControl/>
              <w:jc w:val="left"/>
              <w:rPr>
                <w:rFonts w:ascii="宋体" w:hAnsi="宋体" w:cs="宋体"/>
                <w:color w:val="000000"/>
                <w:sz w:val="22"/>
                <w:szCs w:val="22"/>
              </w:rPr>
            </w:pPr>
            <w:r>
              <w:rPr>
                <w:rFonts w:hint="eastAsia" w:ascii="宋体" w:hAnsi="宋体" w:cs="宋体"/>
                <w:color w:val="000000"/>
                <w:sz w:val="22"/>
                <w:szCs w:val="22"/>
              </w:rPr>
              <w:t>覆盖标准所有要素</w:t>
            </w:r>
          </w:p>
        </w:tc>
        <w:tc>
          <w:tcPr>
            <w:tcW w:w="1370" w:type="dxa"/>
            <w:vAlign w:val="center"/>
          </w:tcPr>
          <w:p w14:paraId="38488363">
            <w:pPr>
              <w:widowControl/>
              <w:jc w:val="center"/>
              <w:rPr>
                <w:rFonts w:ascii="宋体" w:hAnsi="宋体" w:cs="宋体"/>
                <w:color w:val="000000"/>
                <w:sz w:val="22"/>
                <w:szCs w:val="22"/>
              </w:rPr>
            </w:pPr>
            <w:r>
              <w:rPr>
                <w:rFonts w:hint="eastAsia" w:ascii="宋体" w:hAnsi="宋体" w:cs="宋体"/>
                <w:color w:val="000000"/>
                <w:sz w:val="22"/>
                <w:szCs w:val="22"/>
              </w:rPr>
              <w:t>内部审核不符合项纠正闭环率100%</w:t>
            </w:r>
          </w:p>
        </w:tc>
        <w:tc>
          <w:tcPr>
            <w:tcW w:w="1323" w:type="dxa"/>
            <w:vAlign w:val="center"/>
          </w:tcPr>
          <w:p w14:paraId="6F68F3D3">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7FFF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Merge w:val="continue"/>
            <w:vAlign w:val="center"/>
          </w:tcPr>
          <w:p w14:paraId="5DF6A686">
            <w:pPr>
              <w:widowControl/>
              <w:jc w:val="center"/>
              <w:rPr>
                <w:rFonts w:ascii="宋体" w:hAnsi="宋体" w:cs="宋体"/>
                <w:color w:val="000000"/>
                <w:sz w:val="22"/>
                <w:szCs w:val="22"/>
              </w:rPr>
            </w:pPr>
          </w:p>
        </w:tc>
        <w:tc>
          <w:tcPr>
            <w:tcW w:w="706" w:type="dxa"/>
            <w:vAlign w:val="center"/>
          </w:tcPr>
          <w:p w14:paraId="7A07852A">
            <w:pPr>
              <w:widowControl/>
              <w:jc w:val="left"/>
              <w:rPr>
                <w:rFonts w:ascii="宋体" w:hAnsi="宋体" w:cs="宋体"/>
                <w:color w:val="000000"/>
                <w:sz w:val="22"/>
                <w:szCs w:val="22"/>
              </w:rPr>
            </w:pPr>
            <w:r>
              <w:rPr>
                <w:rFonts w:hint="eastAsia" w:ascii="宋体" w:hAnsi="宋体" w:cs="宋体"/>
                <w:color w:val="000000"/>
                <w:sz w:val="22"/>
                <w:szCs w:val="22"/>
              </w:rPr>
              <w:t>管理评审</w:t>
            </w:r>
          </w:p>
        </w:tc>
        <w:tc>
          <w:tcPr>
            <w:tcW w:w="738" w:type="dxa"/>
            <w:vAlign w:val="center"/>
          </w:tcPr>
          <w:p w14:paraId="5F368D7C">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5942D81C">
            <w:pPr>
              <w:widowControl/>
              <w:jc w:val="left"/>
              <w:rPr>
                <w:rFonts w:ascii="宋体" w:hAnsi="宋体" w:cs="宋体"/>
                <w:color w:val="000000"/>
                <w:sz w:val="22"/>
                <w:szCs w:val="22"/>
              </w:rPr>
            </w:pPr>
            <w:r>
              <w:rPr>
                <w:rFonts w:hint="eastAsia" w:ascii="宋体" w:hAnsi="宋体"/>
                <w:sz w:val="22"/>
                <w:szCs w:val="22"/>
              </w:rPr>
              <w:t>改进建议和上次管理评审跟踪措施实施情况报告</w:t>
            </w:r>
            <w:r>
              <w:rPr>
                <w:rFonts w:hint="eastAsia" w:ascii="宋体" w:hAnsi="宋体" w:cs="宋体"/>
                <w:color w:val="000000"/>
                <w:sz w:val="22"/>
                <w:szCs w:val="22"/>
              </w:rPr>
              <w:t>；与质量管理体系相关的内外部因素的变化；顾客和相关方满意度分析报告；质量目标实施情况分析报告；过程绩效及产品质量分析报告；不合格及纠正措施报告；内外审核报告；供方业绩分析报告；资源配置分析报告；应对风险和机遇所采取措施的有效性分析报告；质量经济性分析报告，重大质量问题归零情况报告。</w:t>
            </w:r>
          </w:p>
        </w:tc>
        <w:tc>
          <w:tcPr>
            <w:tcW w:w="2977" w:type="dxa"/>
            <w:vAlign w:val="center"/>
          </w:tcPr>
          <w:p w14:paraId="569029AC">
            <w:pPr>
              <w:widowControl/>
              <w:jc w:val="left"/>
              <w:rPr>
                <w:rFonts w:ascii="宋体" w:hAnsi="宋体" w:cs="宋体"/>
                <w:color w:val="000000"/>
                <w:sz w:val="22"/>
                <w:szCs w:val="22"/>
              </w:rPr>
            </w:pPr>
            <w:r>
              <w:rPr>
                <w:rFonts w:hint="eastAsia" w:ascii="宋体" w:hAnsi="宋体" w:cs="宋体"/>
                <w:color w:val="000000"/>
                <w:sz w:val="22"/>
                <w:szCs w:val="22"/>
              </w:rPr>
              <w:t>管理评审会议记录；管理评审报告；体系、过程及产品（顾客要求）的改进；资源需求等。</w:t>
            </w:r>
          </w:p>
        </w:tc>
        <w:tc>
          <w:tcPr>
            <w:tcW w:w="1455" w:type="dxa"/>
            <w:vAlign w:val="center"/>
          </w:tcPr>
          <w:p w14:paraId="3E7503C1">
            <w:pPr>
              <w:widowControl/>
              <w:jc w:val="left"/>
              <w:rPr>
                <w:rFonts w:ascii="宋体" w:hAnsi="宋体" w:cs="宋体"/>
                <w:color w:val="000000"/>
                <w:sz w:val="22"/>
                <w:szCs w:val="22"/>
              </w:rPr>
            </w:pPr>
            <w:r>
              <w:rPr>
                <w:rFonts w:hint="eastAsia" w:ascii="宋体" w:hAnsi="宋体" w:cs="宋体"/>
                <w:color w:val="000000"/>
                <w:sz w:val="22"/>
                <w:szCs w:val="22"/>
              </w:rPr>
              <w:t>电脑、会议室、办公软件</w:t>
            </w:r>
          </w:p>
        </w:tc>
        <w:tc>
          <w:tcPr>
            <w:tcW w:w="954" w:type="dxa"/>
            <w:vAlign w:val="center"/>
          </w:tcPr>
          <w:p w14:paraId="5F6D4960">
            <w:pPr>
              <w:widowControl/>
              <w:jc w:val="center"/>
              <w:rPr>
                <w:rFonts w:ascii="宋体" w:hAnsi="宋体" w:cs="宋体"/>
                <w:color w:val="000000"/>
                <w:sz w:val="22"/>
                <w:szCs w:val="22"/>
              </w:rPr>
            </w:pPr>
            <w:r>
              <w:rPr>
                <w:rFonts w:hint="eastAsia" w:ascii="宋体" w:hAnsi="宋体" w:cs="宋体"/>
                <w:color w:val="000000"/>
                <w:sz w:val="22"/>
                <w:szCs w:val="22"/>
              </w:rPr>
              <w:t>质量管理部</w:t>
            </w:r>
          </w:p>
        </w:tc>
        <w:tc>
          <w:tcPr>
            <w:tcW w:w="992" w:type="dxa"/>
            <w:vAlign w:val="center"/>
          </w:tcPr>
          <w:p w14:paraId="02EB8173">
            <w:pPr>
              <w:widowControl/>
              <w:jc w:val="left"/>
              <w:rPr>
                <w:rFonts w:ascii="宋体" w:hAnsi="宋体" w:cs="宋体"/>
                <w:color w:val="000000"/>
                <w:sz w:val="22"/>
                <w:szCs w:val="22"/>
              </w:rPr>
            </w:pPr>
            <w:r>
              <w:rPr>
                <w:rFonts w:hint="eastAsia" w:ascii="宋体" w:hAnsi="宋体" w:cs="宋体"/>
                <w:color w:val="000000"/>
                <w:sz w:val="22"/>
                <w:szCs w:val="22"/>
              </w:rPr>
              <w:t>评审内容广泛</w:t>
            </w:r>
          </w:p>
        </w:tc>
        <w:tc>
          <w:tcPr>
            <w:tcW w:w="1370" w:type="dxa"/>
            <w:vAlign w:val="center"/>
          </w:tcPr>
          <w:p w14:paraId="04C0332C">
            <w:pPr>
              <w:widowControl/>
              <w:jc w:val="center"/>
              <w:rPr>
                <w:rFonts w:ascii="宋体" w:hAnsi="宋体" w:cs="宋体"/>
                <w:color w:val="000000"/>
                <w:sz w:val="22"/>
                <w:szCs w:val="22"/>
              </w:rPr>
            </w:pPr>
            <w:r>
              <w:rPr>
                <w:rFonts w:hint="eastAsia" w:ascii="宋体" w:hAnsi="宋体" w:cs="宋体"/>
                <w:color w:val="000000"/>
                <w:sz w:val="22"/>
                <w:szCs w:val="22"/>
              </w:rPr>
              <w:t>管理评审定期召开完成率100%</w:t>
            </w:r>
          </w:p>
        </w:tc>
        <w:tc>
          <w:tcPr>
            <w:tcW w:w="1323" w:type="dxa"/>
            <w:vAlign w:val="center"/>
          </w:tcPr>
          <w:p w14:paraId="5D1B1916">
            <w:pPr>
              <w:widowControl/>
              <w:jc w:val="center"/>
              <w:rPr>
                <w:rFonts w:ascii="宋体" w:hAnsi="宋体" w:cs="宋体"/>
                <w:color w:val="000000"/>
                <w:sz w:val="22"/>
                <w:szCs w:val="22"/>
              </w:rPr>
            </w:pPr>
            <w:r>
              <w:rPr>
                <w:rFonts w:hint="eastAsia" w:ascii="宋体" w:hAnsi="宋体" w:cs="宋体"/>
                <w:color w:val="000000"/>
                <w:sz w:val="22"/>
                <w:szCs w:val="22"/>
              </w:rPr>
              <w:t>按策划要求实施</w:t>
            </w:r>
          </w:p>
        </w:tc>
      </w:tr>
      <w:tr w14:paraId="018A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59" w:type="dxa"/>
            <w:vAlign w:val="center"/>
          </w:tcPr>
          <w:p w14:paraId="5E48E50D">
            <w:pPr>
              <w:widowControl/>
              <w:jc w:val="center"/>
              <w:rPr>
                <w:rFonts w:ascii="宋体" w:hAnsi="宋体" w:cs="宋体"/>
                <w:color w:val="000000"/>
                <w:sz w:val="22"/>
                <w:szCs w:val="22"/>
              </w:rPr>
            </w:pPr>
          </w:p>
        </w:tc>
        <w:tc>
          <w:tcPr>
            <w:tcW w:w="706" w:type="dxa"/>
            <w:vAlign w:val="center"/>
          </w:tcPr>
          <w:p w14:paraId="76907AE9">
            <w:pPr>
              <w:widowControl/>
              <w:jc w:val="left"/>
              <w:rPr>
                <w:rFonts w:ascii="宋体" w:hAnsi="宋体" w:cs="宋体"/>
                <w:color w:val="000000"/>
                <w:sz w:val="22"/>
                <w:szCs w:val="22"/>
              </w:rPr>
            </w:pPr>
            <w:r>
              <w:rPr>
                <w:rFonts w:hint="eastAsia" w:ascii="宋体" w:hAnsi="宋体" w:cs="宋体"/>
                <w:color w:val="000000"/>
                <w:sz w:val="22"/>
                <w:szCs w:val="22"/>
              </w:rPr>
              <w:t>不合格和纠正措施与改进</w:t>
            </w:r>
          </w:p>
        </w:tc>
        <w:tc>
          <w:tcPr>
            <w:tcW w:w="738" w:type="dxa"/>
            <w:vAlign w:val="center"/>
          </w:tcPr>
          <w:p w14:paraId="694630C0">
            <w:pPr>
              <w:widowControl/>
              <w:jc w:val="left"/>
              <w:rPr>
                <w:rFonts w:ascii="宋体" w:hAnsi="宋体" w:cs="宋体"/>
                <w:color w:val="000000"/>
                <w:sz w:val="22"/>
                <w:szCs w:val="22"/>
              </w:rPr>
            </w:pPr>
            <w:r>
              <w:rPr>
                <w:rFonts w:hint="eastAsia" w:ascii="宋体" w:hAnsi="宋体" w:cs="宋体"/>
                <w:color w:val="000000"/>
                <w:sz w:val="22"/>
                <w:szCs w:val="22"/>
              </w:rPr>
              <w:t>　</w:t>
            </w:r>
          </w:p>
        </w:tc>
        <w:tc>
          <w:tcPr>
            <w:tcW w:w="3231" w:type="dxa"/>
            <w:vAlign w:val="center"/>
          </w:tcPr>
          <w:p w14:paraId="31778796">
            <w:pPr>
              <w:widowControl/>
              <w:jc w:val="left"/>
              <w:rPr>
                <w:rFonts w:ascii="宋体" w:hAnsi="宋体" w:cs="宋体"/>
                <w:color w:val="000000"/>
                <w:sz w:val="22"/>
                <w:szCs w:val="22"/>
              </w:rPr>
            </w:pPr>
            <w:r>
              <w:rPr>
                <w:rFonts w:hint="eastAsia" w:ascii="宋体" w:hAnsi="宋体" w:cs="宋体"/>
                <w:color w:val="000000"/>
                <w:sz w:val="22"/>
                <w:szCs w:val="22"/>
              </w:rPr>
              <w:t>成品合格率，不合格事项（顾客投诉、顾客退货、内审和外审的不符合项），数据分析报告，管理评审，内部审核</w:t>
            </w:r>
          </w:p>
        </w:tc>
        <w:tc>
          <w:tcPr>
            <w:tcW w:w="2977" w:type="dxa"/>
            <w:vAlign w:val="center"/>
          </w:tcPr>
          <w:p w14:paraId="3E3E72DC">
            <w:pPr>
              <w:widowControl/>
              <w:jc w:val="left"/>
              <w:rPr>
                <w:rFonts w:ascii="宋体" w:hAnsi="宋体" w:cs="宋体"/>
                <w:color w:val="000000"/>
                <w:sz w:val="22"/>
                <w:szCs w:val="22"/>
              </w:rPr>
            </w:pPr>
            <w:r>
              <w:rPr>
                <w:rFonts w:hint="eastAsia" w:ascii="宋体" w:hAnsi="宋体" w:cs="宋体"/>
                <w:color w:val="000000"/>
                <w:sz w:val="22"/>
                <w:szCs w:val="22"/>
              </w:rPr>
              <w:t>不符合纠正跟踪记录，改进措施跟踪报告</w:t>
            </w:r>
          </w:p>
        </w:tc>
        <w:tc>
          <w:tcPr>
            <w:tcW w:w="1455" w:type="dxa"/>
            <w:vAlign w:val="center"/>
          </w:tcPr>
          <w:p w14:paraId="05AC690A">
            <w:pPr>
              <w:widowControl/>
              <w:jc w:val="left"/>
              <w:rPr>
                <w:rFonts w:ascii="宋体" w:hAnsi="宋体" w:cs="宋体"/>
                <w:color w:val="000000"/>
                <w:sz w:val="22"/>
                <w:szCs w:val="22"/>
              </w:rPr>
            </w:pPr>
            <w:r>
              <w:rPr>
                <w:rFonts w:hint="eastAsia" w:ascii="宋体" w:hAnsi="宋体" w:cs="宋体"/>
                <w:color w:val="000000"/>
                <w:sz w:val="22"/>
                <w:szCs w:val="22"/>
              </w:rPr>
              <w:t>分析、跟踪技术评价的方法及相应工具</w:t>
            </w:r>
          </w:p>
        </w:tc>
        <w:tc>
          <w:tcPr>
            <w:tcW w:w="954" w:type="dxa"/>
            <w:vAlign w:val="center"/>
          </w:tcPr>
          <w:p w14:paraId="73C0B80F">
            <w:pPr>
              <w:widowControl/>
              <w:jc w:val="center"/>
              <w:rPr>
                <w:rFonts w:ascii="宋体" w:hAnsi="宋体" w:cs="宋体"/>
                <w:color w:val="000000"/>
                <w:sz w:val="22"/>
                <w:szCs w:val="22"/>
              </w:rPr>
            </w:pPr>
            <w:r>
              <w:rPr>
                <w:rFonts w:hint="eastAsia" w:ascii="宋体" w:hAnsi="宋体" w:cs="宋体"/>
                <w:color w:val="000000"/>
                <w:sz w:val="22"/>
                <w:szCs w:val="22"/>
              </w:rPr>
              <w:t>各部门</w:t>
            </w:r>
          </w:p>
        </w:tc>
        <w:tc>
          <w:tcPr>
            <w:tcW w:w="992" w:type="dxa"/>
            <w:vAlign w:val="center"/>
          </w:tcPr>
          <w:p w14:paraId="5AD11BDA">
            <w:pPr>
              <w:widowControl/>
              <w:jc w:val="left"/>
              <w:rPr>
                <w:rFonts w:ascii="宋体" w:hAnsi="宋体" w:cs="宋体"/>
                <w:color w:val="000000"/>
                <w:sz w:val="22"/>
                <w:szCs w:val="22"/>
              </w:rPr>
            </w:pPr>
            <w:r>
              <w:rPr>
                <w:rFonts w:hint="eastAsia" w:ascii="宋体" w:hAnsi="宋体" w:cs="宋体"/>
                <w:color w:val="000000"/>
                <w:sz w:val="22"/>
                <w:szCs w:val="22"/>
              </w:rPr>
              <w:t>完成持续改进目标</w:t>
            </w:r>
          </w:p>
        </w:tc>
        <w:tc>
          <w:tcPr>
            <w:tcW w:w="1370" w:type="dxa"/>
            <w:vAlign w:val="center"/>
          </w:tcPr>
          <w:p w14:paraId="058ED71E">
            <w:pPr>
              <w:widowControl/>
              <w:jc w:val="center"/>
              <w:rPr>
                <w:rFonts w:ascii="宋体" w:hAnsi="宋体" w:cs="宋体"/>
                <w:color w:val="000000"/>
                <w:sz w:val="22"/>
                <w:szCs w:val="22"/>
              </w:rPr>
            </w:pPr>
            <w:r>
              <w:rPr>
                <w:rFonts w:hint="eastAsia" w:ascii="宋体" w:hAnsi="宋体" w:cs="宋体"/>
                <w:color w:val="000000"/>
                <w:sz w:val="22"/>
                <w:szCs w:val="22"/>
              </w:rPr>
              <w:t>纠正闭环率100%</w:t>
            </w:r>
          </w:p>
        </w:tc>
        <w:tc>
          <w:tcPr>
            <w:tcW w:w="1323" w:type="dxa"/>
            <w:vAlign w:val="center"/>
          </w:tcPr>
          <w:p w14:paraId="4ADBDCA2">
            <w:pPr>
              <w:widowControl/>
              <w:jc w:val="center"/>
              <w:rPr>
                <w:rFonts w:ascii="宋体" w:hAnsi="宋体" w:cs="宋体"/>
                <w:color w:val="000000"/>
                <w:sz w:val="22"/>
                <w:szCs w:val="22"/>
              </w:rPr>
            </w:pPr>
          </w:p>
        </w:tc>
      </w:tr>
    </w:tbl>
    <w:p w14:paraId="2BB88B8D">
      <w:pPr>
        <w:rPr>
          <w:szCs w:val="28"/>
        </w:rPr>
      </w:pPr>
    </w:p>
    <w:p w14:paraId="4FD67DC8">
      <w:pPr>
        <w:rPr>
          <w:rFonts w:ascii="Calibri" w:hAnsi="Calibri"/>
        </w:rPr>
      </w:pPr>
    </w:p>
    <w:p w14:paraId="764D1F4B">
      <w:pPr>
        <w:pStyle w:val="2"/>
        <w:spacing w:line="400" w:lineRule="exact"/>
      </w:pPr>
    </w:p>
    <w:sectPr>
      <w:pgSz w:w="16838" w:h="11906" w:orient="landscape"/>
      <w:pgMar w:top="1797" w:right="1247" w:bottom="1797" w:left="4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B84B">
    <w:pPr>
      <w:pStyle w:val="10"/>
      <w:framePr w:wrap="around" w:vAnchor="text" w:hAnchor="margin" w:xAlign="center" w:y="1"/>
      <w:jc w:val="center"/>
      <w:rPr>
        <w:rStyle w:val="20"/>
      </w:rPr>
    </w:pPr>
    <w:r>
      <w:fldChar w:fldCharType="begin"/>
    </w:r>
    <w:r>
      <w:rPr>
        <w:rStyle w:val="20"/>
      </w:rPr>
      <w:instrText xml:space="preserve">PAGE  </w:instrText>
    </w:r>
    <w:r>
      <w:fldChar w:fldCharType="separate"/>
    </w:r>
    <w:r>
      <w:rPr>
        <w:rStyle w:val="20"/>
      </w:rPr>
      <w:t>51</w:t>
    </w:r>
    <w:r>
      <w:fldChar w:fldCharType="end"/>
    </w:r>
  </w:p>
  <w:p w14:paraId="74053821">
    <w:pPr>
      <w:pStyle w:val="10"/>
      <w:framePr w:wrap="around" w:vAnchor="text" w:hAnchor="margin" w:xAlign="center" w:y="1"/>
      <w:jc w:val="center"/>
      <w:rPr>
        <w:rStyle w:val="20"/>
      </w:rPr>
    </w:pPr>
  </w:p>
  <w:p w14:paraId="0EEAD6F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8AFC">
    <w:pPr>
      <w:pStyle w:val="10"/>
      <w:framePr w:wrap="around" w:vAnchor="text" w:hAnchor="margin" w:xAlign="center" w:y="1"/>
      <w:rPr>
        <w:rStyle w:val="20"/>
      </w:rPr>
    </w:pPr>
    <w:r>
      <w:fldChar w:fldCharType="begin"/>
    </w:r>
    <w:r>
      <w:rPr>
        <w:rStyle w:val="20"/>
      </w:rPr>
      <w:instrText xml:space="preserve">PAGE  </w:instrText>
    </w:r>
    <w:r>
      <w:fldChar w:fldCharType="end"/>
    </w:r>
  </w:p>
  <w:p w14:paraId="634E1CD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F3A5">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0A6B">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42</w:t>
    </w:r>
    <w:r>
      <w:fldChar w:fldCharType="end"/>
    </w:r>
  </w:p>
  <w:p w14:paraId="7B341310">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49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F9A0D">
    <w:pPr>
      <w:jc w:val="right"/>
      <w:rPr>
        <w:rFonts w:hint="eastAsia" w:ascii="宋体" w:hAnsi="宋体" w:eastAsia="宋体"/>
        <w:lang w:eastAsia="zh-CN"/>
      </w:rPr>
    </w:pPr>
    <w:r>
      <w:rPr>
        <w:rFonts w:hint="eastAsia" w:ascii="宋体" w:hAnsi="宋体"/>
        <w:sz w:val="21"/>
        <w:szCs w:val="21"/>
      </w:rPr>
      <w:t>HY</w:t>
    </w:r>
    <w:r>
      <w:rPr>
        <w:rFonts w:ascii="宋体" w:hAnsi="宋体"/>
        <w:sz w:val="21"/>
        <w:szCs w:val="21"/>
      </w:rPr>
      <w:t>-</w:t>
    </w:r>
    <w:r>
      <w:rPr>
        <w:rFonts w:hint="eastAsia" w:ascii="宋体" w:hAnsi="宋体"/>
        <w:sz w:val="21"/>
        <w:szCs w:val="21"/>
      </w:rPr>
      <w:t>QMS</w:t>
    </w:r>
    <w:r>
      <w:rPr>
        <w:rFonts w:ascii="宋体" w:hAnsi="宋体"/>
        <w:sz w:val="21"/>
        <w:szCs w:val="21"/>
      </w:rPr>
      <w:t>-202</w:t>
    </w:r>
    <w:r>
      <w:rPr>
        <w:rFonts w:hint="eastAsia" w:ascii="宋体" w:hAnsi="宋体"/>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21CDA"/>
    <w:multiLevelType w:val="multilevel"/>
    <w:tmpl w:val="07E21CDA"/>
    <w:lvl w:ilvl="0" w:tentative="0">
      <w:start w:val="1"/>
      <w:numFmt w:val="lowerLetter"/>
      <w:suff w:val="space"/>
      <w:lvlText w:val="%1）"/>
      <w:lvlJc w:val="left"/>
      <w:pPr>
        <w:ind w:left="845" w:hanging="278"/>
      </w:pPr>
      <w:rPr>
        <w:rFonts w:hint="default"/>
      </w:rPr>
    </w:lvl>
    <w:lvl w:ilvl="1" w:tentative="0">
      <w:start w:val="1"/>
      <w:numFmt w:val="lowerLetter"/>
      <w:lvlText w:val="%2)"/>
      <w:lvlJc w:val="left"/>
      <w:pPr>
        <w:ind w:left="1887" w:hanging="420"/>
      </w:pPr>
    </w:lvl>
    <w:lvl w:ilvl="2" w:tentative="0">
      <w:start w:val="1"/>
      <w:numFmt w:val="lowerRoman"/>
      <w:lvlText w:val="%3."/>
      <w:lvlJc w:val="right"/>
      <w:pPr>
        <w:ind w:left="2307" w:hanging="420"/>
      </w:pPr>
    </w:lvl>
    <w:lvl w:ilvl="3" w:tentative="0">
      <w:start w:val="1"/>
      <w:numFmt w:val="decimal"/>
      <w:lvlText w:val="%4."/>
      <w:lvlJc w:val="left"/>
      <w:pPr>
        <w:ind w:left="2727" w:hanging="420"/>
      </w:pPr>
    </w:lvl>
    <w:lvl w:ilvl="4" w:tentative="0">
      <w:start w:val="1"/>
      <w:numFmt w:val="lowerLetter"/>
      <w:lvlText w:val="%5)"/>
      <w:lvlJc w:val="left"/>
      <w:pPr>
        <w:ind w:left="3147" w:hanging="420"/>
      </w:pPr>
    </w:lvl>
    <w:lvl w:ilvl="5" w:tentative="0">
      <w:start w:val="1"/>
      <w:numFmt w:val="lowerRoman"/>
      <w:lvlText w:val="%6."/>
      <w:lvlJc w:val="right"/>
      <w:pPr>
        <w:ind w:left="3567" w:hanging="420"/>
      </w:pPr>
    </w:lvl>
    <w:lvl w:ilvl="6" w:tentative="0">
      <w:start w:val="1"/>
      <w:numFmt w:val="decimal"/>
      <w:lvlText w:val="%7."/>
      <w:lvlJc w:val="left"/>
      <w:pPr>
        <w:ind w:left="3987" w:hanging="420"/>
      </w:pPr>
    </w:lvl>
    <w:lvl w:ilvl="7" w:tentative="0">
      <w:start w:val="1"/>
      <w:numFmt w:val="lowerLetter"/>
      <w:lvlText w:val="%8)"/>
      <w:lvlJc w:val="left"/>
      <w:pPr>
        <w:ind w:left="4407" w:hanging="420"/>
      </w:pPr>
    </w:lvl>
    <w:lvl w:ilvl="8" w:tentative="0">
      <w:start w:val="1"/>
      <w:numFmt w:val="lowerRoman"/>
      <w:lvlText w:val="%9."/>
      <w:lvlJc w:val="right"/>
      <w:pPr>
        <w:ind w:left="4827" w:hanging="420"/>
      </w:pPr>
    </w:lvl>
  </w:abstractNum>
  <w:abstractNum w:abstractNumId="1">
    <w:nsid w:val="125D249D"/>
    <w:multiLevelType w:val="multilevel"/>
    <w:tmpl w:val="125D249D"/>
    <w:lvl w:ilvl="0" w:tentative="0">
      <w:start w:val="1"/>
      <w:numFmt w:val="lowerLetter"/>
      <w:suff w:val="space"/>
      <w:lvlText w:val="%1）"/>
      <w:lvlJc w:val="left"/>
      <w:pPr>
        <w:ind w:left="845" w:hanging="278"/>
      </w:pPr>
      <w:rPr>
        <w:rFonts w:hint="default"/>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543547C"/>
    <w:multiLevelType w:val="multilevel"/>
    <w:tmpl w:val="1543547C"/>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5CE3A8D"/>
    <w:multiLevelType w:val="multilevel"/>
    <w:tmpl w:val="45CE3A8D"/>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4E0537F"/>
    <w:multiLevelType w:val="multilevel"/>
    <w:tmpl w:val="54E0537F"/>
    <w:lvl w:ilvl="0" w:tentative="0">
      <w:start w:val="1"/>
      <w:numFmt w:val="lowerLetter"/>
      <w:suff w:val="space"/>
      <w:lvlText w:val="%1）"/>
      <w:lvlJc w:val="left"/>
      <w:pPr>
        <w:ind w:left="988" w:hanging="278"/>
      </w:pPr>
      <w:rPr>
        <w:rFonts w:hint="default" w:ascii="宋体" w:hAnsi="宋体" w:eastAsia="宋体"/>
        <w:sz w:val="21"/>
        <w:szCs w:val="21"/>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F551384"/>
    <w:multiLevelType w:val="multilevel"/>
    <w:tmpl w:val="5F551384"/>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9237FB6"/>
    <w:multiLevelType w:val="multilevel"/>
    <w:tmpl w:val="79237FB6"/>
    <w:lvl w:ilvl="0" w:tentative="0">
      <w:start w:val="1"/>
      <w:numFmt w:val="lowerLetter"/>
      <w:suff w:val="space"/>
      <w:lvlText w:val="%1）"/>
      <w:lvlJc w:val="left"/>
      <w:pPr>
        <w:ind w:left="845" w:hanging="278"/>
      </w:pPr>
      <w:rPr>
        <w:rFonts w:hint="default"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40"/>
  <w:drawingGridVerticalSpacing w:val="381"/>
  <w:displayHorizontalDrawingGridEvery w:val="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ZTcwZGJjNTk3OWJlNjc0ZGIwNWU1NTQ5MjYzMmIifQ=="/>
  </w:docVars>
  <w:rsids>
    <w:rsidRoot w:val="00172A27"/>
    <w:rsid w:val="00002CF4"/>
    <w:rsid w:val="00006005"/>
    <w:rsid w:val="00007276"/>
    <w:rsid w:val="00007D8C"/>
    <w:rsid w:val="00011D7E"/>
    <w:rsid w:val="00012AFE"/>
    <w:rsid w:val="00012C9C"/>
    <w:rsid w:val="00012E1F"/>
    <w:rsid w:val="00013865"/>
    <w:rsid w:val="00013D60"/>
    <w:rsid w:val="00014480"/>
    <w:rsid w:val="00014A6F"/>
    <w:rsid w:val="00014B62"/>
    <w:rsid w:val="00014E17"/>
    <w:rsid w:val="000175E7"/>
    <w:rsid w:val="000176A5"/>
    <w:rsid w:val="00021C9F"/>
    <w:rsid w:val="00023863"/>
    <w:rsid w:val="00024448"/>
    <w:rsid w:val="000248AE"/>
    <w:rsid w:val="000329DC"/>
    <w:rsid w:val="00035EC2"/>
    <w:rsid w:val="0003727E"/>
    <w:rsid w:val="00037B20"/>
    <w:rsid w:val="00037F90"/>
    <w:rsid w:val="000419AD"/>
    <w:rsid w:val="00042AB2"/>
    <w:rsid w:val="00043D46"/>
    <w:rsid w:val="00044BBD"/>
    <w:rsid w:val="000512A3"/>
    <w:rsid w:val="00052BA6"/>
    <w:rsid w:val="00055A9C"/>
    <w:rsid w:val="000572F7"/>
    <w:rsid w:val="00061A59"/>
    <w:rsid w:val="0006243D"/>
    <w:rsid w:val="00063C17"/>
    <w:rsid w:val="00065F38"/>
    <w:rsid w:val="000664F1"/>
    <w:rsid w:val="000671B3"/>
    <w:rsid w:val="00072343"/>
    <w:rsid w:val="0007297B"/>
    <w:rsid w:val="000750DE"/>
    <w:rsid w:val="000820F0"/>
    <w:rsid w:val="00082604"/>
    <w:rsid w:val="000827D7"/>
    <w:rsid w:val="000834E8"/>
    <w:rsid w:val="00085185"/>
    <w:rsid w:val="000873DF"/>
    <w:rsid w:val="0009175A"/>
    <w:rsid w:val="00092CDE"/>
    <w:rsid w:val="000A2CAD"/>
    <w:rsid w:val="000A325C"/>
    <w:rsid w:val="000A5218"/>
    <w:rsid w:val="000A55F3"/>
    <w:rsid w:val="000B7749"/>
    <w:rsid w:val="000C5116"/>
    <w:rsid w:val="000C775E"/>
    <w:rsid w:val="000C7DFA"/>
    <w:rsid w:val="000D024F"/>
    <w:rsid w:val="000D03B7"/>
    <w:rsid w:val="000D2707"/>
    <w:rsid w:val="000D2D73"/>
    <w:rsid w:val="000D3EF9"/>
    <w:rsid w:val="000D4395"/>
    <w:rsid w:val="000D44CE"/>
    <w:rsid w:val="000E33FE"/>
    <w:rsid w:val="000F11D3"/>
    <w:rsid w:val="000F4234"/>
    <w:rsid w:val="000F669A"/>
    <w:rsid w:val="000F6915"/>
    <w:rsid w:val="00105019"/>
    <w:rsid w:val="00105892"/>
    <w:rsid w:val="00107C10"/>
    <w:rsid w:val="0011432D"/>
    <w:rsid w:val="00116B4F"/>
    <w:rsid w:val="00117D6D"/>
    <w:rsid w:val="00122057"/>
    <w:rsid w:val="0012348D"/>
    <w:rsid w:val="00123BE9"/>
    <w:rsid w:val="00125F4D"/>
    <w:rsid w:val="001363CA"/>
    <w:rsid w:val="00144B8A"/>
    <w:rsid w:val="00145A4A"/>
    <w:rsid w:val="001537C2"/>
    <w:rsid w:val="00154930"/>
    <w:rsid w:val="001571C6"/>
    <w:rsid w:val="0015776F"/>
    <w:rsid w:val="00157A42"/>
    <w:rsid w:val="00160E4E"/>
    <w:rsid w:val="00162DB8"/>
    <w:rsid w:val="001632EB"/>
    <w:rsid w:val="00166C64"/>
    <w:rsid w:val="0017153D"/>
    <w:rsid w:val="00172A27"/>
    <w:rsid w:val="00174464"/>
    <w:rsid w:val="001767B7"/>
    <w:rsid w:val="00182466"/>
    <w:rsid w:val="00182CBC"/>
    <w:rsid w:val="00182CD9"/>
    <w:rsid w:val="00183062"/>
    <w:rsid w:val="00186420"/>
    <w:rsid w:val="00195351"/>
    <w:rsid w:val="00197469"/>
    <w:rsid w:val="001A0549"/>
    <w:rsid w:val="001A0591"/>
    <w:rsid w:val="001A16B2"/>
    <w:rsid w:val="001A2D9D"/>
    <w:rsid w:val="001A47D7"/>
    <w:rsid w:val="001A534F"/>
    <w:rsid w:val="001B0C0D"/>
    <w:rsid w:val="001B1AF1"/>
    <w:rsid w:val="001B1BFE"/>
    <w:rsid w:val="001B2D13"/>
    <w:rsid w:val="001B334A"/>
    <w:rsid w:val="001B3F2E"/>
    <w:rsid w:val="001B511D"/>
    <w:rsid w:val="001C2215"/>
    <w:rsid w:val="001C5098"/>
    <w:rsid w:val="001C6DDB"/>
    <w:rsid w:val="001D19BF"/>
    <w:rsid w:val="001D2217"/>
    <w:rsid w:val="001E138F"/>
    <w:rsid w:val="001E7818"/>
    <w:rsid w:val="001E7AC4"/>
    <w:rsid w:val="001E7C2C"/>
    <w:rsid w:val="001F2518"/>
    <w:rsid w:val="001F32EE"/>
    <w:rsid w:val="001F44E6"/>
    <w:rsid w:val="001F7A91"/>
    <w:rsid w:val="00200357"/>
    <w:rsid w:val="00201986"/>
    <w:rsid w:val="00201D55"/>
    <w:rsid w:val="00201FDB"/>
    <w:rsid w:val="00202033"/>
    <w:rsid w:val="00202085"/>
    <w:rsid w:val="00204C63"/>
    <w:rsid w:val="0020659F"/>
    <w:rsid w:val="00207160"/>
    <w:rsid w:val="00212175"/>
    <w:rsid w:val="00212A4B"/>
    <w:rsid w:val="00212ADC"/>
    <w:rsid w:val="00217B98"/>
    <w:rsid w:val="00220E09"/>
    <w:rsid w:val="00221235"/>
    <w:rsid w:val="00224085"/>
    <w:rsid w:val="0022669E"/>
    <w:rsid w:val="00231027"/>
    <w:rsid w:val="0023103F"/>
    <w:rsid w:val="00233D4A"/>
    <w:rsid w:val="00234AB7"/>
    <w:rsid w:val="00234CAF"/>
    <w:rsid w:val="00245DEB"/>
    <w:rsid w:val="00250F1A"/>
    <w:rsid w:val="002533AF"/>
    <w:rsid w:val="00254F1C"/>
    <w:rsid w:val="0025572E"/>
    <w:rsid w:val="00257158"/>
    <w:rsid w:val="00257902"/>
    <w:rsid w:val="00257E7F"/>
    <w:rsid w:val="00264B77"/>
    <w:rsid w:val="00267BC2"/>
    <w:rsid w:val="00270882"/>
    <w:rsid w:val="002770BD"/>
    <w:rsid w:val="002804FA"/>
    <w:rsid w:val="002805E3"/>
    <w:rsid w:val="00282710"/>
    <w:rsid w:val="00283340"/>
    <w:rsid w:val="002927FF"/>
    <w:rsid w:val="00292DE1"/>
    <w:rsid w:val="002934AF"/>
    <w:rsid w:val="00293928"/>
    <w:rsid w:val="00295C71"/>
    <w:rsid w:val="002A0D58"/>
    <w:rsid w:val="002A49CD"/>
    <w:rsid w:val="002A50EE"/>
    <w:rsid w:val="002A5F82"/>
    <w:rsid w:val="002B4519"/>
    <w:rsid w:val="002B6159"/>
    <w:rsid w:val="002C0511"/>
    <w:rsid w:val="002C2996"/>
    <w:rsid w:val="002C44FF"/>
    <w:rsid w:val="002C5971"/>
    <w:rsid w:val="002C5D24"/>
    <w:rsid w:val="002C7ED2"/>
    <w:rsid w:val="002D0A27"/>
    <w:rsid w:val="002D38BD"/>
    <w:rsid w:val="002D5EA7"/>
    <w:rsid w:val="002D6A08"/>
    <w:rsid w:val="002D6D20"/>
    <w:rsid w:val="002D726B"/>
    <w:rsid w:val="002E0B86"/>
    <w:rsid w:val="002E0CAE"/>
    <w:rsid w:val="002E4C87"/>
    <w:rsid w:val="002E6C97"/>
    <w:rsid w:val="002F1705"/>
    <w:rsid w:val="002F2F64"/>
    <w:rsid w:val="002F32E3"/>
    <w:rsid w:val="002F3D56"/>
    <w:rsid w:val="002F457D"/>
    <w:rsid w:val="002F4C93"/>
    <w:rsid w:val="002F7E0B"/>
    <w:rsid w:val="00303554"/>
    <w:rsid w:val="00311344"/>
    <w:rsid w:val="003115E2"/>
    <w:rsid w:val="00315619"/>
    <w:rsid w:val="00317D33"/>
    <w:rsid w:val="00321DD0"/>
    <w:rsid w:val="00322C77"/>
    <w:rsid w:val="00324033"/>
    <w:rsid w:val="00327F5F"/>
    <w:rsid w:val="00331C1F"/>
    <w:rsid w:val="003330D8"/>
    <w:rsid w:val="003340C4"/>
    <w:rsid w:val="003345A9"/>
    <w:rsid w:val="00334A7F"/>
    <w:rsid w:val="00335E24"/>
    <w:rsid w:val="00341E13"/>
    <w:rsid w:val="00342B1B"/>
    <w:rsid w:val="00344DDA"/>
    <w:rsid w:val="00345638"/>
    <w:rsid w:val="00345A81"/>
    <w:rsid w:val="00346B2E"/>
    <w:rsid w:val="003509A3"/>
    <w:rsid w:val="00350D2B"/>
    <w:rsid w:val="00350F52"/>
    <w:rsid w:val="00355425"/>
    <w:rsid w:val="00357344"/>
    <w:rsid w:val="0037265E"/>
    <w:rsid w:val="003769C9"/>
    <w:rsid w:val="003841D0"/>
    <w:rsid w:val="00392CAB"/>
    <w:rsid w:val="00392CB4"/>
    <w:rsid w:val="00395497"/>
    <w:rsid w:val="00397802"/>
    <w:rsid w:val="003A3116"/>
    <w:rsid w:val="003A44E3"/>
    <w:rsid w:val="003A5406"/>
    <w:rsid w:val="003A6FE7"/>
    <w:rsid w:val="003A70CF"/>
    <w:rsid w:val="003B1C12"/>
    <w:rsid w:val="003B5727"/>
    <w:rsid w:val="003C1978"/>
    <w:rsid w:val="003D1D09"/>
    <w:rsid w:val="003D6309"/>
    <w:rsid w:val="003D7BBA"/>
    <w:rsid w:val="003E0BBD"/>
    <w:rsid w:val="003E45DF"/>
    <w:rsid w:val="003F2148"/>
    <w:rsid w:val="00405F70"/>
    <w:rsid w:val="004077E9"/>
    <w:rsid w:val="00407E10"/>
    <w:rsid w:val="00410430"/>
    <w:rsid w:val="004127FE"/>
    <w:rsid w:val="00413696"/>
    <w:rsid w:val="00413805"/>
    <w:rsid w:val="00416616"/>
    <w:rsid w:val="00421A42"/>
    <w:rsid w:val="00421EF5"/>
    <w:rsid w:val="00422B4E"/>
    <w:rsid w:val="00423A5C"/>
    <w:rsid w:val="00426502"/>
    <w:rsid w:val="00427EE4"/>
    <w:rsid w:val="0043181D"/>
    <w:rsid w:val="0043198A"/>
    <w:rsid w:val="004349C5"/>
    <w:rsid w:val="0045020F"/>
    <w:rsid w:val="00450AF2"/>
    <w:rsid w:val="004511A6"/>
    <w:rsid w:val="00452034"/>
    <w:rsid w:val="00455FC8"/>
    <w:rsid w:val="004578AB"/>
    <w:rsid w:val="00460081"/>
    <w:rsid w:val="00463358"/>
    <w:rsid w:val="00464279"/>
    <w:rsid w:val="00464FB6"/>
    <w:rsid w:val="00467852"/>
    <w:rsid w:val="00470309"/>
    <w:rsid w:val="00471B87"/>
    <w:rsid w:val="00473258"/>
    <w:rsid w:val="00476599"/>
    <w:rsid w:val="00476A23"/>
    <w:rsid w:val="00481B05"/>
    <w:rsid w:val="0048677C"/>
    <w:rsid w:val="00495867"/>
    <w:rsid w:val="00496026"/>
    <w:rsid w:val="004A52E2"/>
    <w:rsid w:val="004A7568"/>
    <w:rsid w:val="004A7665"/>
    <w:rsid w:val="004A76BC"/>
    <w:rsid w:val="004B0404"/>
    <w:rsid w:val="004B297C"/>
    <w:rsid w:val="004B3E11"/>
    <w:rsid w:val="004B425A"/>
    <w:rsid w:val="004B7637"/>
    <w:rsid w:val="004C18ED"/>
    <w:rsid w:val="004C485E"/>
    <w:rsid w:val="004C6399"/>
    <w:rsid w:val="004C6F07"/>
    <w:rsid w:val="004C7C02"/>
    <w:rsid w:val="004D17A3"/>
    <w:rsid w:val="004D2AA9"/>
    <w:rsid w:val="004D2E5E"/>
    <w:rsid w:val="004E09C0"/>
    <w:rsid w:val="004E220A"/>
    <w:rsid w:val="004E3B71"/>
    <w:rsid w:val="004E656E"/>
    <w:rsid w:val="004F018F"/>
    <w:rsid w:val="004F2D64"/>
    <w:rsid w:val="004F65FD"/>
    <w:rsid w:val="00500A49"/>
    <w:rsid w:val="00501991"/>
    <w:rsid w:val="00502B86"/>
    <w:rsid w:val="00502D6F"/>
    <w:rsid w:val="00507A7F"/>
    <w:rsid w:val="0051237F"/>
    <w:rsid w:val="00513775"/>
    <w:rsid w:val="00514CD8"/>
    <w:rsid w:val="005171E6"/>
    <w:rsid w:val="00517371"/>
    <w:rsid w:val="00525160"/>
    <w:rsid w:val="00527DDE"/>
    <w:rsid w:val="005318BC"/>
    <w:rsid w:val="005323DC"/>
    <w:rsid w:val="00533FD8"/>
    <w:rsid w:val="0053690E"/>
    <w:rsid w:val="0053784E"/>
    <w:rsid w:val="00540580"/>
    <w:rsid w:val="0054156F"/>
    <w:rsid w:val="00543CE7"/>
    <w:rsid w:val="00552A02"/>
    <w:rsid w:val="00553B4C"/>
    <w:rsid w:val="0055588B"/>
    <w:rsid w:val="00564EC1"/>
    <w:rsid w:val="00567206"/>
    <w:rsid w:val="00583130"/>
    <w:rsid w:val="005859B9"/>
    <w:rsid w:val="00591676"/>
    <w:rsid w:val="0059224B"/>
    <w:rsid w:val="00597DE4"/>
    <w:rsid w:val="005A0C43"/>
    <w:rsid w:val="005A1F4F"/>
    <w:rsid w:val="005B0830"/>
    <w:rsid w:val="005B0DD8"/>
    <w:rsid w:val="005B1A0D"/>
    <w:rsid w:val="005B1DF5"/>
    <w:rsid w:val="005B2CBB"/>
    <w:rsid w:val="005B346B"/>
    <w:rsid w:val="005B36E2"/>
    <w:rsid w:val="005B5276"/>
    <w:rsid w:val="005B62E0"/>
    <w:rsid w:val="005B7E2D"/>
    <w:rsid w:val="005C052D"/>
    <w:rsid w:val="005C1429"/>
    <w:rsid w:val="005C447D"/>
    <w:rsid w:val="005C771E"/>
    <w:rsid w:val="005C796A"/>
    <w:rsid w:val="005D1959"/>
    <w:rsid w:val="005D1A9A"/>
    <w:rsid w:val="005D2907"/>
    <w:rsid w:val="005D423F"/>
    <w:rsid w:val="005D4707"/>
    <w:rsid w:val="005D558F"/>
    <w:rsid w:val="005D5908"/>
    <w:rsid w:val="005D5E8D"/>
    <w:rsid w:val="005E44EA"/>
    <w:rsid w:val="005E7D58"/>
    <w:rsid w:val="005F0B72"/>
    <w:rsid w:val="005F14A0"/>
    <w:rsid w:val="005F3C13"/>
    <w:rsid w:val="005F609A"/>
    <w:rsid w:val="005F6819"/>
    <w:rsid w:val="00605D84"/>
    <w:rsid w:val="006076CA"/>
    <w:rsid w:val="006102FA"/>
    <w:rsid w:val="006103D5"/>
    <w:rsid w:val="00610CF8"/>
    <w:rsid w:val="0061342C"/>
    <w:rsid w:val="00614FA0"/>
    <w:rsid w:val="00620469"/>
    <w:rsid w:val="00620BE1"/>
    <w:rsid w:val="00621338"/>
    <w:rsid w:val="00621A4A"/>
    <w:rsid w:val="0062562F"/>
    <w:rsid w:val="006270E4"/>
    <w:rsid w:val="00634E46"/>
    <w:rsid w:val="006355DB"/>
    <w:rsid w:val="00635EEA"/>
    <w:rsid w:val="00650F71"/>
    <w:rsid w:val="00653AD8"/>
    <w:rsid w:val="0065528D"/>
    <w:rsid w:val="00664F20"/>
    <w:rsid w:val="006654AB"/>
    <w:rsid w:val="00670B70"/>
    <w:rsid w:val="00670F9D"/>
    <w:rsid w:val="006776EB"/>
    <w:rsid w:val="00684530"/>
    <w:rsid w:val="00686214"/>
    <w:rsid w:val="0069032D"/>
    <w:rsid w:val="00692FA6"/>
    <w:rsid w:val="0069372B"/>
    <w:rsid w:val="00693C81"/>
    <w:rsid w:val="00695EA6"/>
    <w:rsid w:val="00696507"/>
    <w:rsid w:val="006A01F2"/>
    <w:rsid w:val="006A10B5"/>
    <w:rsid w:val="006A2EA8"/>
    <w:rsid w:val="006A59A9"/>
    <w:rsid w:val="006A6B44"/>
    <w:rsid w:val="006A6E14"/>
    <w:rsid w:val="006B0329"/>
    <w:rsid w:val="006B467A"/>
    <w:rsid w:val="006B5794"/>
    <w:rsid w:val="006B5CE4"/>
    <w:rsid w:val="006C3B8B"/>
    <w:rsid w:val="006C575E"/>
    <w:rsid w:val="006C5E57"/>
    <w:rsid w:val="006C62E8"/>
    <w:rsid w:val="006D2888"/>
    <w:rsid w:val="006D31F3"/>
    <w:rsid w:val="006D3C5C"/>
    <w:rsid w:val="006D59D4"/>
    <w:rsid w:val="006D66E9"/>
    <w:rsid w:val="006E130D"/>
    <w:rsid w:val="006E2DAA"/>
    <w:rsid w:val="006E3729"/>
    <w:rsid w:val="006E50BF"/>
    <w:rsid w:val="006E5D9C"/>
    <w:rsid w:val="006F2C33"/>
    <w:rsid w:val="006F2E1E"/>
    <w:rsid w:val="006F46CB"/>
    <w:rsid w:val="006F4ACE"/>
    <w:rsid w:val="006F5557"/>
    <w:rsid w:val="006F7E75"/>
    <w:rsid w:val="00700836"/>
    <w:rsid w:val="00701E57"/>
    <w:rsid w:val="007029E8"/>
    <w:rsid w:val="0070363D"/>
    <w:rsid w:val="007066C3"/>
    <w:rsid w:val="007103CC"/>
    <w:rsid w:val="00712850"/>
    <w:rsid w:val="00713C3F"/>
    <w:rsid w:val="007161E2"/>
    <w:rsid w:val="00716512"/>
    <w:rsid w:val="00717F6C"/>
    <w:rsid w:val="007202BB"/>
    <w:rsid w:val="00720E80"/>
    <w:rsid w:val="00721A88"/>
    <w:rsid w:val="007265E2"/>
    <w:rsid w:val="007312E9"/>
    <w:rsid w:val="007326D9"/>
    <w:rsid w:val="00732DA8"/>
    <w:rsid w:val="00733866"/>
    <w:rsid w:val="00736800"/>
    <w:rsid w:val="00736B4B"/>
    <w:rsid w:val="00740160"/>
    <w:rsid w:val="007408AE"/>
    <w:rsid w:val="00741E61"/>
    <w:rsid w:val="00743F59"/>
    <w:rsid w:val="00745A8D"/>
    <w:rsid w:val="00746E99"/>
    <w:rsid w:val="00751089"/>
    <w:rsid w:val="00754034"/>
    <w:rsid w:val="00755173"/>
    <w:rsid w:val="00757304"/>
    <w:rsid w:val="007631D2"/>
    <w:rsid w:val="00767437"/>
    <w:rsid w:val="007702D7"/>
    <w:rsid w:val="00774DEA"/>
    <w:rsid w:val="00775328"/>
    <w:rsid w:val="007771DF"/>
    <w:rsid w:val="00784EEB"/>
    <w:rsid w:val="00786EFB"/>
    <w:rsid w:val="0079004B"/>
    <w:rsid w:val="00791E4F"/>
    <w:rsid w:val="007944E9"/>
    <w:rsid w:val="00794D17"/>
    <w:rsid w:val="00797E60"/>
    <w:rsid w:val="007A1F31"/>
    <w:rsid w:val="007A3914"/>
    <w:rsid w:val="007A4A79"/>
    <w:rsid w:val="007A5A58"/>
    <w:rsid w:val="007A5C36"/>
    <w:rsid w:val="007B53C6"/>
    <w:rsid w:val="007C048F"/>
    <w:rsid w:val="007C1464"/>
    <w:rsid w:val="007C3433"/>
    <w:rsid w:val="007C53DD"/>
    <w:rsid w:val="007C625C"/>
    <w:rsid w:val="007D01E5"/>
    <w:rsid w:val="007D2910"/>
    <w:rsid w:val="007D421C"/>
    <w:rsid w:val="007D607B"/>
    <w:rsid w:val="007D7CF5"/>
    <w:rsid w:val="007D7F25"/>
    <w:rsid w:val="007E1384"/>
    <w:rsid w:val="007E1A9B"/>
    <w:rsid w:val="007E3229"/>
    <w:rsid w:val="007E6082"/>
    <w:rsid w:val="007E6BFB"/>
    <w:rsid w:val="007E7CFA"/>
    <w:rsid w:val="007E7F38"/>
    <w:rsid w:val="007F3E81"/>
    <w:rsid w:val="007F675E"/>
    <w:rsid w:val="007F6AD6"/>
    <w:rsid w:val="007F7B1B"/>
    <w:rsid w:val="008007F0"/>
    <w:rsid w:val="008054F2"/>
    <w:rsid w:val="00811F62"/>
    <w:rsid w:val="00814AA9"/>
    <w:rsid w:val="0081576D"/>
    <w:rsid w:val="00817C08"/>
    <w:rsid w:val="00823C36"/>
    <w:rsid w:val="0082552B"/>
    <w:rsid w:val="008257A0"/>
    <w:rsid w:val="0082581C"/>
    <w:rsid w:val="0082748F"/>
    <w:rsid w:val="00831780"/>
    <w:rsid w:val="008417D2"/>
    <w:rsid w:val="008459A0"/>
    <w:rsid w:val="00850059"/>
    <w:rsid w:val="008513B4"/>
    <w:rsid w:val="00851EA7"/>
    <w:rsid w:val="00852939"/>
    <w:rsid w:val="00852B69"/>
    <w:rsid w:val="00853B68"/>
    <w:rsid w:val="00856CCA"/>
    <w:rsid w:val="00857F42"/>
    <w:rsid w:val="00870747"/>
    <w:rsid w:val="0087175B"/>
    <w:rsid w:val="00872C7A"/>
    <w:rsid w:val="0087314F"/>
    <w:rsid w:val="00873541"/>
    <w:rsid w:val="00873A99"/>
    <w:rsid w:val="00874A8D"/>
    <w:rsid w:val="00880A5D"/>
    <w:rsid w:val="0088103F"/>
    <w:rsid w:val="0088142E"/>
    <w:rsid w:val="00883435"/>
    <w:rsid w:val="0088447A"/>
    <w:rsid w:val="00884F7F"/>
    <w:rsid w:val="00892542"/>
    <w:rsid w:val="008933DE"/>
    <w:rsid w:val="00893E9C"/>
    <w:rsid w:val="0089719B"/>
    <w:rsid w:val="008A049F"/>
    <w:rsid w:val="008A3078"/>
    <w:rsid w:val="008A47C3"/>
    <w:rsid w:val="008A5D9A"/>
    <w:rsid w:val="008A6BF5"/>
    <w:rsid w:val="008B05A8"/>
    <w:rsid w:val="008B16BF"/>
    <w:rsid w:val="008B1AFA"/>
    <w:rsid w:val="008B45C1"/>
    <w:rsid w:val="008B558B"/>
    <w:rsid w:val="008C0020"/>
    <w:rsid w:val="008C37F1"/>
    <w:rsid w:val="008C4D4E"/>
    <w:rsid w:val="008C59B5"/>
    <w:rsid w:val="008C6512"/>
    <w:rsid w:val="008C70CE"/>
    <w:rsid w:val="008C7BA7"/>
    <w:rsid w:val="008D014D"/>
    <w:rsid w:val="008D03BA"/>
    <w:rsid w:val="008D44E1"/>
    <w:rsid w:val="008E11AA"/>
    <w:rsid w:val="008E1637"/>
    <w:rsid w:val="008E2D46"/>
    <w:rsid w:val="008E35E8"/>
    <w:rsid w:val="008E6796"/>
    <w:rsid w:val="008E762E"/>
    <w:rsid w:val="008F0080"/>
    <w:rsid w:val="008F1A61"/>
    <w:rsid w:val="008F61FC"/>
    <w:rsid w:val="008F6207"/>
    <w:rsid w:val="00900535"/>
    <w:rsid w:val="009060DC"/>
    <w:rsid w:val="009077E8"/>
    <w:rsid w:val="00913F85"/>
    <w:rsid w:val="009156CB"/>
    <w:rsid w:val="00921B2A"/>
    <w:rsid w:val="009226A5"/>
    <w:rsid w:val="00922DEC"/>
    <w:rsid w:val="00926A1F"/>
    <w:rsid w:val="0093280A"/>
    <w:rsid w:val="00934580"/>
    <w:rsid w:val="009405DF"/>
    <w:rsid w:val="00943E6E"/>
    <w:rsid w:val="00944EC3"/>
    <w:rsid w:val="00947C67"/>
    <w:rsid w:val="00954777"/>
    <w:rsid w:val="0095521F"/>
    <w:rsid w:val="00955C2C"/>
    <w:rsid w:val="0096064C"/>
    <w:rsid w:val="009622B5"/>
    <w:rsid w:val="00963A96"/>
    <w:rsid w:val="00966849"/>
    <w:rsid w:val="009704BD"/>
    <w:rsid w:val="00971351"/>
    <w:rsid w:val="00972606"/>
    <w:rsid w:val="00976A1C"/>
    <w:rsid w:val="009779FF"/>
    <w:rsid w:val="00984E44"/>
    <w:rsid w:val="00985266"/>
    <w:rsid w:val="00985271"/>
    <w:rsid w:val="00985852"/>
    <w:rsid w:val="0099008C"/>
    <w:rsid w:val="00992A7E"/>
    <w:rsid w:val="00992E84"/>
    <w:rsid w:val="009953B1"/>
    <w:rsid w:val="0099640B"/>
    <w:rsid w:val="009A0806"/>
    <w:rsid w:val="009A194B"/>
    <w:rsid w:val="009A29B5"/>
    <w:rsid w:val="009A56FD"/>
    <w:rsid w:val="009A5C0C"/>
    <w:rsid w:val="009B3BFE"/>
    <w:rsid w:val="009B4D36"/>
    <w:rsid w:val="009B5AEC"/>
    <w:rsid w:val="009B73E5"/>
    <w:rsid w:val="009B7B22"/>
    <w:rsid w:val="009C2A2C"/>
    <w:rsid w:val="009C65C9"/>
    <w:rsid w:val="009D1AE0"/>
    <w:rsid w:val="009D70CF"/>
    <w:rsid w:val="009E3B17"/>
    <w:rsid w:val="009E45F4"/>
    <w:rsid w:val="009F012D"/>
    <w:rsid w:val="009F4B07"/>
    <w:rsid w:val="00A02C72"/>
    <w:rsid w:val="00A03880"/>
    <w:rsid w:val="00A040A8"/>
    <w:rsid w:val="00A057E4"/>
    <w:rsid w:val="00A06DDB"/>
    <w:rsid w:val="00A111DE"/>
    <w:rsid w:val="00A14154"/>
    <w:rsid w:val="00A14D14"/>
    <w:rsid w:val="00A153C3"/>
    <w:rsid w:val="00A16204"/>
    <w:rsid w:val="00A20C7C"/>
    <w:rsid w:val="00A27251"/>
    <w:rsid w:val="00A27A28"/>
    <w:rsid w:val="00A30BF7"/>
    <w:rsid w:val="00A30D67"/>
    <w:rsid w:val="00A332F6"/>
    <w:rsid w:val="00A33981"/>
    <w:rsid w:val="00A36701"/>
    <w:rsid w:val="00A36EEF"/>
    <w:rsid w:val="00A4136D"/>
    <w:rsid w:val="00A41435"/>
    <w:rsid w:val="00A458A6"/>
    <w:rsid w:val="00A478CC"/>
    <w:rsid w:val="00A50627"/>
    <w:rsid w:val="00A51DBE"/>
    <w:rsid w:val="00A52C62"/>
    <w:rsid w:val="00A621B3"/>
    <w:rsid w:val="00A642D0"/>
    <w:rsid w:val="00A642E8"/>
    <w:rsid w:val="00A65D5E"/>
    <w:rsid w:val="00A66E0F"/>
    <w:rsid w:val="00A81504"/>
    <w:rsid w:val="00A82238"/>
    <w:rsid w:val="00A8728C"/>
    <w:rsid w:val="00A87C0B"/>
    <w:rsid w:val="00A90FC1"/>
    <w:rsid w:val="00A951F3"/>
    <w:rsid w:val="00A9571F"/>
    <w:rsid w:val="00A97322"/>
    <w:rsid w:val="00AA0683"/>
    <w:rsid w:val="00AA1E47"/>
    <w:rsid w:val="00AA3809"/>
    <w:rsid w:val="00AA776F"/>
    <w:rsid w:val="00AB4882"/>
    <w:rsid w:val="00AB576E"/>
    <w:rsid w:val="00AB6274"/>
    <w:rsid w:val="00AB64DA"/>
    <w:rsid w:val="00AB7703"/>
    <w:rsid w:val="00AC21EA"/>
    <w:rsid w:val="00AC66DB"/>
    <w:rsid w:val="00AC691B"/>
    <w:rsid w:val="00AC7C36"/>
    <w:rsid w:val="00AD0EE1"/>
    <w:rsid w:val="00AD124D"/>
    <w:rsid w:val="00AD12E0"/>
    <w:rsid w:val="00AD182E"/>
    <w:rsid w:val="00AD4C90"/>
    <w:rsid w:val="00AD6D1F"/>
    <w:rsid w:val="00AE5BE8"/>
    <w:rsid w:val="00AF249F"/>
    <w:rsid w:val="00AF4975"/>
    <w:rsid w:val="00AF6958"/>
    <w:rsid w:val="00B01266"/>
    <w:rsid w:val="00B0234D"/>
    <w:rsid w:val="00B034F0"/>
    <w:rsid w:val="00B03795"/>
    <w:rsid w:val="00B05177"/>
    <w:rsid w:val="00B10A84"/>
    <w:rsid w:val="00B12BD3"/>
    <w:rsid w:val="00B14081"/>
    <w:rsid w:val="00B175BE"/>
    <w:rsid w:val="00B1779E"/>
    <w:rsid w:val="00B17AF9"/>
    <w:rsid w:val="00B2132B"/>
    <w:rsid w:val="00B27BB9"/>
    <w:rsid w:val="00B3022B"/>
    <w:rsid w:val="00B302A3"/>
    <w:rsid w:val="00B32D49"/>
    <w:rsid w:val="00B32FF3"/>
    <w:rsid w:val="00B340E0"/>
    <w:rsid w:val="00B34543"/>
    <w:rsid w:val="00B37697"/>
    <w:rsid w:val="00B43028"/>
    <w:rsid w:val="00B4682A"/>
    <w:rsid w:val="00B473FB"/>
    <w:rsid w:val="00B47D2D"/>
    <w:rsid w:val="00B5069B"/>
    <w:rsid w:val="00B53F82"/>
    <w:rsid w:val="00B54827"/>
    <w:rsid w:val="00B54AE3"/>
    <w:rsid w:val="00B553B2"/>
    <w:rsid w:val="00B60914"/>
    <w:rsid w:val="00B63562"/>
    <w:rsid w:val="00B737F3"/>
    <w:rsid w:val="00B7680F"/>
    <w:rsid w:val="00B777F1"/>
    <w:rsid w:val="00B85925"/>
    <w:rsid w:val="00B85C52"/>
    <w:rsid w:val="00B91CF9"/>
    <w:rsid w:val="00B938A0"/>
    <w:rsid w:val="00B95FCB"/>
    <w:rsid w:val="00BA2B8B"/>
    <w:rsid w:val="00BA468E"/>
    <w:rsid w:val="00BA4DAB"/>
    <w:rsid w:val="00BB1D8A"/>
    <w:rsid w:val="00BB22C9"/>
    <w:rsid w:val="00BB28A1"/>
    <w:rsid w:val="00BB58E5"/>
    <w:rsid w:val="00BB5AE6"/>
    <w:rsid w:val="00BB767E"/>
    <w:rsid w:val="00BC2087"/>
    <w:rsid w:val="00BC4696"/>
    <w:rsid w:val="00BC4A07"/>
    <w:rsid w:val="00BC525C"/>
    <w:rsid w:val="00BC5C38"/>
    <w:rsid w:val="00BD5435"/>
    <w:rsid w:val="00BD7939"/>
    <w:rsid w:val="00BE00AE"/>
    <w:rsid w:val="00BE06BD"/>
    <w:rsid w:val="00BE1F47"/>
    <w:rsid w:val="00BE3AB7"/>
    <w:rsid w:val="00BE67AF"/>
    <w:rsid w:val="00BE6BDE"/>
    <w:rsid w:val="00BF1E34"/>
    <w:rsid w:val="00BF21D3"/>
    <w:rsid w:val="00BF6076"/>
    <w:rsid w:val="00BF65F3"/>
    <w:rsid w:val="00BF6A68"/>
    <w:rsid w:val="00C0021F"/>
    <w:rsid w:val="00C02AEF"/>
    <w:rsid w:val="00C04A2A"/>
    <w:rsid w:val="00C06B24"/>
    <w:rsid w:val="00C0759A"/>
    <w:rsid w:val="00C0767D"/>
    <w:rsid w:val="00C07AB7"/>
    <w:rsid w:val="00C10E07"/>
    <w:rsid w:val="00C11639"/>
    <w:rsid w:val="00C14FF7"/>
    <w:rsid w:val="00C20456"/>
    <w:rsid w:val="00C2064B"/>
    <w:rsid w:val="00C23B47"/>
    <w:rsid w:val="00C23E13"/>
    <w:rsid w:val="00C2465D"/>
    <w:rsid w:val="00C25257"/>
    <w:rsid w:val="00C25448"/>
    <w:rsid w:val="00C26D82"/>
    <w:rsid w:val="00C331F7"/>
    <w:rsid w:val="00C41E03"/>
    <w:rsid w:val="00C44E09"/>
    <w:rsid w:val="00C468E8"/>
    <w:rsid w:val="00C50775"/>
    <w:rsid w:val="00C55B58"/>
    <w:rsid w:val="00C55D19"/>
    <w:rsid w:val="00C56728"/>
    <w:rsid w:val="00C63CE8"/>
    <w:rsid w:val="00C64DB3"/>
    <w:rsid w:val="00C70138"/>
    <w:rsid w:val="00C72266"/>
    <w:rsid w:val="00C72E4F"/>
    <w:rsid w:val="00C7779A"/>
    <w:rsid w:val="00C80EC3"/>
    <w:rsid w:val="00C83BF7"/>
    <w:rsid w:val="00C85317"/>
    <w:rsid w:val="00C85B76"/>
    <w:rsid w:val="00C860AF"/>
    <w:rsid w:val="00C8710C"/>
    <w:rsid w:val="00C91F7B"/>
    <w:rsid w:val="00C92E23"/>
    <w:rsid w:val="00CA3548"/>
    <w:rsid w:val="00CA4FF2"/>
    <w:rsid w:val="00CA5955"/>
    <w:rsid w:val="00CB0ECF"/>
    <w:rsid w:val="00CC0EBC"/>
    <w:rsid w:val="00CC5608"/>
    <w:rsid w:val="00CC7513"/>
    <w:rsid w:val="00CD1FB6"/>
    <w:rsid w:val="00CD2352"/>
    <w:rsid w:val="00CD353D"/>
    <w:rsid w:val="00CD464D"/>
    <w:rsid w:val="00CD49DB"/>
    <w:rsid w:val="00CD5945"/>
    <w:rsid w:val="00CD5DED"/>
    <w:rsid w:val="00CE0EBC"/>
    <w:rsid w:val="00CE17C4"/>
    <w:rsid w:val="00CE184E"/>
    <w:rsid w:val="00CE185E"/>
    <w:rsid w:val="00CE4859"/>
    <w:rsid w:val="00CF1775"/>
    <w:rsid w:val="00CF31F5"/>
    <w:rsid w:val="00CF4F51"/>
    <w:rsid w:val="00CF5C4E"/>
    <w:rsid w:val="00CF68AF"/>
    <w:rsid w:val="00D013A9"/>
    <w:rsid w:val="00D01EC5"/>
    <w:rsid w:val="00D01EF3"/>
    <w:rsid w:val="00D0260E"/>
    <w:rsid w:val="00D06B8C"/>
    <w:rsid w:val="00D06EED"/>
    <w:rsid w:val="00D10910"/>
    <w:rsid w:val="00D150A7"/>
    <w:rsid w:val="00D16BFA"/>
    <w:rsid w:val="00D212C2"/>
    <w:rsid w:val="00D22DEC"/>
    <w:rsid w:val="00D23E38"/>
    <w:rsid w:val="00D25C1B"/>
    <w:rsid w:val="00D26AFE"/>
    <w:rsid w:val="00D303A7"/>
    <w:rsid w:val="00D31C57"/>
    <w:rsid w:val="00D32033"/>
    <w:rsid w:val="00D32066"/>
    <w:rsid w:val="00D323F5"/>
    <w:rsid w:val="00D34318"/>
    <w:rsid w:val="00D42DC6"/>
    <w:rsid w:val="00D432C0"/>
    <w:rsid w:val="00D53B52"/>
    <w:rsid w:val="00D62E30"/>
    <w:rsid w:val="00D701F9"/>
    <w:rsid w:val="00D70557"/>
    <w:rsid w:val="00D75C5E"/>
    <w:rsid w:val="00D77332"/>
    <w:rsid w:val="00D80D48"/>
    <w:rsid w:val="00D8364F"/>
    <w:rsid w:val="00D8470C"/>
    <w:rsid w:val="00D91856"/>
    <w:rsid w:val="00D92563"/>
    <w:rsid w:val="00D93EF5"/>
    <w:rsid w:val="00D96F92"/>
    <w:rsid w:val="00DA300B"/>
    <w:rsid w:val="00DA3D02"/>
    <w:rsid w:val="00DA44A4"/>
    <w:rsid w:val="00DA6A00"/>
    <w:rsid w:val="00DA72FE"/>
    <w:rsid w:val="00DB28F3"/>
    <w:rsid w:val="00DB5E2B"/>
    <w:rsid w:val="00DC4ADF"/>
    <w:rsid w:val="00DC5B56"/>
    <w:rsid w:val="00DC68D3"/>
    <w:rsid w:val="00DC6A6A"/>
    <w:rsid w:val="00DD3063"/>
    <w:rsid w:val="00DD3212"/>
    <w:rsid w:val="00DD39E0"/>
    <w:rsid w:val="00DD4B24"/>
    <w:rsid w:val="00DD7A02"/>
    <w:rsid w:val="00DE1D79"/>
    <w:rsid w:val="00DE3E12"/>
    <w:rsid w:val="00DE5348"/>
    <w:rsid w:val="00DE6F23"/>
    <w:rsid w:val="00DF4FEE"/>
    <w:rsid w:val="00E012E7"/>
    <w:rsid w:val="00E01BC8"/>
    <w:rsid w:val="00E0254E"/>
    <w:rsid w:val="00E04709"/>
    <w:rsid w:val="00E056F6"/>
    <w:rsid w:val="00E06FF9"/>
    <w:rsid w:val="00E071E1"/>
    <w:rsid w:val="00E145D5"/>
    <w:rsid w:val="00E2524F"/>
    <w:rsid w:val="00E25893"/>
    <w:rsid w:val="00E31375"/>
    <w:rsid w:val="00E34902"/>
    <w:rsid w:val="00E352BA"/>
    <w:rsid w:val="00E36574"/>
    <w:rsid w:val="00E416E9"/>
    <w:rsid w:val="00E5272D"/>
    <w:rsid w:val="00E53CD4"/>
    <w:rsid w:val="00E56E26"/>
    <w:rsid w:val="00E6021C"/>
    <w:rsid w:val="00E62018"/>
    <w:rsid w:val="00E66287"/>
    <w:rsid w:val="00E72475"/>
    <w:rsid w:val="00E72712"/>
    <w:rsid w:val="00E72897"/>
    <w:rsid w:val="00E73187"/>
    <w:rsid w:val="00E731E8"/>
    <w:rsid w:val="00E73357"/>
    <w:rsid w:val="00E7509B"/>
    <w:rsid w:val="00E84451"/>
    <w:rsid w:val="00E84B90"/>
    <w:rsid w:val="00E85499"/>
    <w:rsid w:val="00E9007B"/>
    <w:rsid w:val="00E901C6"/>
    <w:rsid w:val="00E945D3"/>
    <w:rsid w:val="00E954C5"/>
    <w:rsid w:val="00E978B0"/>
    <w:rsid w:val="00EA0757"/>
    <w:rsid w:val="00EA2505"/>
    <w:rsid w:val="00EA3403"/>
    <w:rsid w:val="00EA5F0D"/>
    <w:rsid w:val="00EB0AC3"/>
    <w:rsid w:val="00EB4FAD"/>
    <w:rsid w:val="00EB5DE8"/>
    <w:rsid w:val="00EB6E4C"/>
    <w:rsid w:val="00EC03A1"/>
    <w:rsid w:val="00EC0F64"/>
    <w:rsid w:val="00EC17EA"/>
    <w:rsid w:val="00EC30FD"/>
    <w:rsid w:val="00EC461A"/>
    <w:rsid w:val="00EC5788"/>
    <w:rsid w:val="00EC6063"/>
    <w:rsid w:val="00ED0E0E"/>
    <w:rsid w:val="00ED12DE"/>
    <w:rsid w:val="00ED2130"/>
    <w:rsid w:val="00ED3C4D"/>
    <w:rsid w:val="00EE1C1B"/>
    <w:rsid w:val="00EE29B1"/>
    <w:rsid w:val="00EE3060"/>
    <w:rsid w:val="00EE7637"/>
    <w:rsid w:val="00EF1CA8"/>
    <w:rsid w:val="00F00375"/>
    <w:rsid w:val="00F02548"/>
    <w:rsid w:val="00F03E0F"/>
    <w:rsid w:val="00F04125"/>
    <w:rsid w:val="00F07A5B"/>
    <w:rsid w:val="00F10505"/>
    <w:rsid w:val="00F12543"/>
    <w:rsid w:val="00F208F9"/>
    <w:rsid w:val="00F219A7"/>
    <w:rsid w:val="00F241DD"/>
    <w:rsid w:val="00F41C44"/>
    <w:rsid w:val="00F43735"/>
    <w:rsid w:val="00F4499A"/>
    <w:rsid w:val="00F46534"/>
    <w:rsid w:val="00F46CD9"/>
    <w:rsid w:val="00F50871"/>
    <w:rsid w:val="00F561D3"/>
    <w:rsid w:val="00F575C2"/>
    <w:rsid w:val="00F60258"/>
    <w:rsid w:val="00F63A39"/>
    <w:rsid w:val="00F6653C"/>
    <w:rsid w:val="00F67D8F"/>
    <w:rsid w:val="00F7261F"/>
    <w:rsid w:val="00F731F0"/>
    <w:rsid w:val="00F76F2B"/>
    <w:rsid w:val="00F77063"/>
    <w:rsid w:val="00F773B4"/>
    <w:rsid w:val="00F7751A"/>
    <w:rsid w:val="00F829BD"/>
    <w:rsid w:val="00F84B9A"/>
    <w:rsid w:val="00F85243"/>
    <w:rsid w:val="00F90558"/>
    <w:rsid w:val="00F90E9D"/>
    <w:rsid w:val="00F927DC"/>
    <w:rsid w:val="00F93166"/>
    <w:rsid w:val="00F96C14"/>
    <w:rsid w:val="00FA0A34"/>
    <w:rsid w:val="00FA0D3E"/>
    <w:rsid w:val="00FA125B"/>
    <w:rsid w:val="00FA3002"/>
    <w:rsid w:val="00FA5C05"/>
    <w:rsid w:val="00FA7641"/>
    <w:rsid w:val="00FA7701"/>
    <w:rsid w:val="00FB41BB"/>
    <w:rsid w:val="00FC5520"/>
    <w:rsid w:val="00FC6398"/>
    <w:rsid w:val="00FD133A"/>
    <w:rsid w:val="00FD14AC"/>
    <w:rsid w:val="00FE016F"/>
    <w:rsid w:val="00FE0689"/>
    <w:rsid w:val="00FE4F0B"/>
    <w:rsid w:val="00FE7353"/>
    <w:rsid w:val="00FE73CD"/>
    <w:rsid w:val="00FF0F15"/>
    <w:rsid w:val="00FF208B"/>
    <w:rsid w:val="00FF2243"/>
    <w:rsid w:val="00FF29FA"/>
    <w:rsid w:val="00FF2FBE"/>
    <w:rsid w:val="00FF327B"/>
    <w:rsid w:val="03E6457A"/>
    <w:rsid w:val="04083B7F"/>
    <w:rsid w:val="040E5EB7"/>
    <w:rsid w:val="04223B99"/>
    <w:rsid w:val="04902FBC"/>
    <w:rsid w:val="05421691"/>
    <w:rsid w:val="06B9739A"/>
    <w:rsid w:val="07271C6F"/>
    <w:rsid w:val="0799255F"/>
    <w:rsid w:val="08117BEE"/>
    <w:rsid w:val="088A7F5F"/>
    <w:rsid w:val="089A3955"/>
    <w:rsid w:val="08B62652"/>
    <w:rsid w:val="0A266F94"/>
    <w:rsid w:val="0A452176"/>
    <w:rsid w:val="0B6E4BBB"/>
    <w:rsid w:val="0CF119DA"/>
    <w:rsid w:val="0D0D2DB4"/>
    <w:rsid w:val="0DEB2CBA"/>
    <w:rsid w:val="0E4102AC"/>
    <w:rsid w:val="0E8740D0"/>
    <w:rsid w:val="0F103693"/>
    <w:rsid w:val="10191084"/>
    <w:rsid w:val="10774FD5"/>
    <w:rsid w:val="116F7251"/>
    <w:rsid w:val="117B4A18"/>
    <w:rsid w:val="12CF239A"/>
    <w:rsid w:val="1328121E"/>
    <w:rsid w:val="13737CBE"/>
    <w:rsid w:val="137906EE"/>
    <w:rsid w:val="13DA184C"/>
    <w:rsid w:val="13EB3929"/>
    <w:rsid w:val="146E435D"/>
    <w:rsid w:val="153C14BA"/>
    <w:rsid w:val="156A1CB9"/>
    <w:rsid w:val="15A74401"/>
    <w:rsid w:val="15AA6483"/>
    <w:rsid w:val="1666377B"/>
    <w:rsid w:val="17AB4A3A"/>
    <w:rsid w:val="180F7C75"/>
    <w:rsid w:val="18285F29"/>
    <w:rsid w:val="196B18F6"/>
    <w:rsid w:val="19C05BF9"/>
    <w:rsid w:val="1A202A8B"/>
    <w:rsid w:val="1AAD5AB3"/>
    <w:rsid w:val="1ADC064B"/>
    <w:rsid w:val="1B031FA3"/>
    <w:rsid w:val="1B537351"/>
    <w:rsid w:val="1B945657"/>
    <w:rsid w:val="1BA36009"/>
    <w:rsid w:val="1BC05D20"/>
    <w:rsid w:val="1C482E59"/>
    <w:rsid w:val="1C8F0BC0"/>
    <w:rsid w:val="1CB92FDC"/>
    <w:rsid w:val="1CFF0477"/>
    <w:rsid w:val="1D8B5F0B"/>
    <w:rsid w:val="1E8C0179"/>
    <w:rsid w:val="1F8958B7"/>
    <w:rsid w:val="1FF94053"/>
    <w:rsid w:val="20045068"/>
    <w:rsid w:val="20CD69D9"/>
    <w:rsid w:val="21374403"/>
    <w:rsid w:val="222026D8"/>
    <w:rsid w:val="224F0A2E"/>
    <w:rsid w:val="233C4E70"/>
    <w:rsid w:val="233E3835"/>
    <w:rsid w:val="23536BDA"/>
    <w:rsid w:val="244337D9"/>
    <w:rsid w:val="24441812"/>
    <w:rsid w:val="246A2BD4"/>
    <w:rsid w:val="24ED200E"/>
    <w:rsid w:val="253A7B38"/>
    <w:rsid w:val="25CB5361"/>
    <w:rsid w:val="2600302E"/>
    <w:rsid w:val="267E68AF"/>
    <w:rsid w:val="26F05A5F"/>
    <w:rsid w:val="27F52780"/>
    <w:rsid w:val="2AA45B4C"/>
    <w:rsid w:val="2AAD3FFE"/>
    <w:rsid w:val="2ABE758C"/>
    <w:rsid w:val="2ADF55BA"/>
    <w:rsid w:val="2B012F0B"/>
    <w:rsid w:val="2CB87722"/>
    <w:rsid w:val="2D2F1630"/>
    <w:rsid w:val="2DB6342A"/>
    <w:rsid w:val="2E466645"/>
    <w:rsid w:val="2E83366A"/>
    <w:rsid w:val="2E8E57F1"/>
    <w:rsid w:val="2EAD0668"/>
    <w:rsid w:val="2ED62487"/>
    <w:rsid w:val="2FC63B1B"/>
    <w:rsid w:val="2FDD390E"/>
    <w:rsid w:val="30173137"/>
    <w:rsid w:val="30733E2E"/>
    <w:rsid w:val="3316226B"/>
    <w:rsid w:val="34B84229"/>
    <w:rsid w:val="34E914E1"/>
    <w:rsid w:val="35492F77"/>
    <w:rsid w:val="35925889"/>
    <w:rsid w:val="35E502D7"/>
    <w:rsid w:val="36293968"/>
    <w:rsid w:val="36AB4026"/>
    <w:rsid w:val="397854A0"/>
    <w:rsid w:val="39FE2EF2"/>
    <w:rsid w:val="3AF762D1"/>
    <w:rsid w:val="3B405024"/>
    <w:rsid w:val="3BFF5382"/>
    <w:rsid w:val="3C260608"/>
    <w:rsid w:val="3C303BA9"/>
    <w:rsid w:val="3C6750C4"/>
    <w:rsid w:val="3C781F16"/>
    <w:rsid w:val="3C977894"/>
    <w:rsid w:val="3CA5067B"/>
    <w:rsid w:val="3D145DEE"/>
    <w:rsid w:val="3D162D01"/>
    <w:rsid w:val="3DF11E11"/>
    <w:rsid w:val="3E37300A"/>
    <w:rsid w:val="3ED8647F"/>
    <w:rsid w:val="3F472903"/>
    <w:rsid w:val="3F9F3609"/>
    <w:rsid w:val="3FE03A26"/>
    <w:rsid w:val="40616DF6"/>
    <w:rsid w:val="40A16559"/>
    <w:rsid w:val="42863C43"/>
    <w:rsid w:val="42BF022A"/>
    <w:rsid w:val="430708F4"/>
    <w:rsid w:val="453C3D1D"/>
    <w:rsid w:val="45560E57"/>
    <w:rsid w:val="45747796"/>
    <w:rsid w:val="45AC5E62"/>
    <w:rsid w:val="47395D09"/>
    <w:rsid w:val="48D12A65"/>
    <w:rsid w:val="494166F3"/>
    <w:rsid w:val="49C658C2"/>
    <w:rsid w:val="4A2F051D"/>
    <w:rsid w:val="4A762D43"/>
    <w:rsid w:val="4BA27BC3"/>
    <w:rsid w:val="4DB266E2"/>
    <w:rsid w:val="4F1E39C6"/>
    <w:rsid w:val="51D04A7B"/>
    <w:rsid w:val="524A7782"/>
    <w:rsid w:val="52D932D0"/>
    <w:rsid w:val="5357362D"/>
    <w:rsid w:val="53A762E9"/>
    <w:rsid w:val="53FA5565"/>
    <w:rsid w:val="554A739C"/>
    <w:rsid w:val="55513A96"/>
    <w:rsid w:val="575D1771"/>
    <w:rsid w:val="587A62A9"/>
    <w:rsid w:val="587E144B"/>
    <w:rsid w:val="592A56C9"/>
    <w:rsid w:val="5A0A2217"/>
    <w:rsid w:val="5ACD2E31"/>
    <w:rsid w:val="5B5A11AE"/>
    <w:rsid w:val="5C5C5B34"/>
    <w:rsid w:val="5CDC19BB"/>
    <w:rsid w:val="5D422F96"/>
    <w:rsid w:val="5D4C3845"/>
    <w:rsid w:val="5E0237F1"/>
    <w:rsid w:val="5E453881"/>
    <w:rsid w:val="60307286"/>
    <w:rsid w:val="60362DF5"/>
    <w:rsid w:val="606C1D13"/>
    <w:rsid w:val="60B0380B"/>
    <w:rsid w:val="61187A1D"/>
    <w:rsid w:val="612C1F82"/>
    <w:rsid w:val="624742B4"/>
    <w:rsid w:val="639D2ED9"/>
    <w:rsid w:val="63ED4004"/>
    <w:rsid w:val="640D6E93"/>
    <w:rsid w:val="649C62F4"/>
    <w:rsid w:val="65555212"/>
    <w:rsid w:val="65C42BDB"/>
    <w:rsid w:val="661307D2"/>
    <w:rsid w:val="668725DB"/>
    <w:rsid w:val="66FE6F51"/>
    <w:rsid w:val="67D93DE6"/>
    <w:rsid w:val="67DA6590"/>
    <w:rsid w:val="68871DC3"/>
    <w:rsid w:val="68AA2A50"/>
    <w:rsid w:val="695A1D78"/>
    <w:rsid w:val="6A222CC8"/>
    <w:rsid w:val="6B1C5623"/>
    <w:rsid w:val="6B4D3888"/>
    <w:rsid w:val="6B774C63"/>
    <w:rsid w:val="6E843F52"/>
    <w:rsid w:val="6ECF2468"/>
    <w:rsid w:val="6FBC0B3A"/>
    <w:rsid w:val="70D7443C"/>
    <w:rsid w:val="721D6D65"/>
    <w:rsid w:val="723D14D8"/>
    <w:rsid w:val="7300330C"/>
    <w:rsid w:val="73E30E72"/>
    <w:rsid w:val="74AE56C2"/>
    <w:rsid w:val="74E775A4"/>
    <w:rsid w:val="757F7A19"/>
    <w:rsid w:val="75B72E55"/>
    <w:rsid w:val="762B1685"/>
    <w:rsid w:val="7700056B"/>
    <w:rsid w:val="775627C4"/>
    <w:rsid w:val="790A7DFA"/>
    <w:rsid w:val="79126022"/>
    <w:rsid w:val="79396A35"/>
    <w:rsid w:val="796D548F"/>
    <w:rsid w:val="7BB172E9"/>
    <w:rsid w:val="7D741F67"/>
    <w:rsid w:val="7E0B3D48"/>
    <w:rsid w:val="7E2608D0"/>
    <w:rsid w:val="7E2841CD"/>
    <w:rsid w:val="7E2B5944"/>
    <w:rsid w:val="7EA1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sz w:val="28"/>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4"/>
    <w:basedOn w:val="1"/>
    <w:next w:val="1"/>
    <w:link w:val="31"/>
    <w:qFormat/>
    <w:uiPriority w:val="0"/>
    <w:pPr>
      <w:keepNext/>
      <w:keepLines/>
      <w:spacing w:before="280" w:after="290" w:line="376" w:lineRule="auto"/>
      <w:outlineLvl w:val="3"/>
    </w:pPr>
    <w:rPr>
      <w:rFonts w:ascii="Arial" w:hAnsi="Arial" w:eastAsia="黑体" w:cs="Times New Roman"/>
      <w:b/>
      <w:bCs/>
      <w:kern w:val="2"/>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420" w:firstLineChars="200"/>
    </w:pPr>
    <w:rPr>
      <w:rFonts w:ascii="宋体" w:cs="Times New Roman"/>
      <w:kern w:val="2"/>
      <w:sz w:val="24"/>
      <w:szCs w:val="24"/>
    </w:rPr>
  </w:style>
  <w:style w:type="paragraph" w:styleId="6">
    <w:name w:val="toc 3"/>
    <w:basedOn w:val="1"/>
    <w:next w:val="1"/>
    <w:qFormat/>
    <w:uiPriority w:val="39"/>
    <w:pPr>
      <w:ind w:left="840" w:leftChars="400"/>
    </w:pPr>
  </w:style>
  <w:style w:type="paragraph" w:styleId="7">
    <w:name w:val="Plain Text"/>
    <w:basedOn w:val="1"/>
    <w:qFormat/>
    <w:uiPriority w:val="0"/>
    <w:rPr>
      <w:rFonts w:ascii="宋体" w:hAnsi="Courier New" w:cs="Times New Roman"/>
      <w:kern w:val="2"/>
      <w:sz w:val="21"/>
    </w:rPr>
  </w:style>
  <w:style w:type="paragraph" w:styleId="8">
    <w:name w:val="Date"/>
    <w:basedOn w:val="1"/>
    <w:next w:val="1"/>
    <w:qFormat/>
    <w:uiPriority w:val="0"/>
    <w:pPr>
      <w:ind w:left="100" w:leftChars="2500"/>
    </w:pPr>
  </w:style>
  <w:style w:type="paragraph" w:styleId="9">
    <w:name w:val="Balloon Text"/>
    <w:basedOn w:val="1"/>
    <w:link w:val="29"/>
    <w:qFormat/>
    <w:uiPriority w:val="0"/>
    <w:rPr>
      <w:rFonts w:ascii="宋体" w:hAnsi="宋体" w:cs="Times New Roman"/>
      <w:kern w:val="2"/>
      <w:sz w:val="18"/>
      <w:szCs w:val="18"/>
    </w:rPr>
  </w:style>
  <w:style w:type="paragraph" w:styleId="10">
    <w:name w:val="footer"/>
    <w:basedOn w:val="1"/>
    <w:link w:val="26"/>
    <w:qFormat/>
    <w:uiPriority w:val="99"/>
    <w:pPr>
      <w:tabs>
        <w:tab w:val="center" w:pos="4153"/>
        <w:tab w:val="right" w:pos="8306"/>
      </w:tabs>
      <w:snapToGrid w:val="0"/>
      <w:jc w:val="left"/>
    </w:pPr>
    <w:rPr>
      <w:rFonts w:cs="Times New Roman"/>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15">
    <w:name w:val="index 1"/>
    <w:basedOn w:val="1"/>
    <w:next w:val="1"/>
    <w:semiHidden/>
    <w:qFormat/>
    <w:uiPriority w:val="0"/>
  </w:style>
  <w:style w:type="paragraph" w:styleId="16">
    <w:name w:val="Title"/>
    <w:basedOn w:val="1"/>
    <w:next w:val="1"/>
    <w:link w:val="30"/>
    <w:qFormat/>
    <w:uiPriority w:val="0"/>
    <w:pPr>
      <w:spacing w:before="240" w:after="60"/>
      <w:jc w:val="center"/>
      <w:outlineLvl w:val="0"/>
    </w:pPr>
    <w:rPr>
      <w:rFonts w:ascii="Cambria" w:hAnsi="Cambria" w:cs="Times New Roman"/>
      <w:b/>
      <w:bCs/>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qFormat/>
    <w:uiPriority w:val="99"/>
    <w:rPr>
      <w:rFonts w:ascii="Calibri" w:hAnsi="Calibri" w:eastAsia="宋体" w:cs="Arial"/>
      <w:color w:val="0000FF"/>
      <w:u w:val="single"/>
    </w:rPr>
  </w:style>
  <w:style w:type="character" w:customStyle="1" w:styleId="22">
    <w:name w:val="标题 1 Char"/>
    <w:link w:val="2"/>
    <w:qFormat/>
    <w:uiPriority w:val="0"/>
    <w:rPr>
      <w:rFonts w:eastAsia="宋体"/>
      <w:b/>
      <w:bCs/>
      <w:kern w:val="44"/>
      <w:sz w:val="44"/>
      <w:szCs w:val="44"/>
      <w:lang w:bidi="ar-SA"/>
    </w:rPr>
  </w:style>
  <w:style w:type="character" w:customStyle="1" w:styleId="23">
    <w:name w:val="纯文本 Char"/>
    <w:link w:val="24"/>
    <w:qFormat/>
    <w:uiPriority w:val="0"/>
    <w:rPr>
      <w:rFonts w:ascii="宋体" w:hAnsi="Courier New" w:eastAsia="宋体"/>
      <w:kern w:val="2"/>
      <w:sz w:val="28"/>
      <w:szCs w:val="21"/>
      <w:lang w:bidi="ar-SA"/>
    </w:rPr>
  </w:style>
  <w:style w:type="paragraph" w:customStyle="1" w:styleId="24">
    <w:name w:val="纯文本1"/>
    <w:basedOn w:val="1"/>
    <w:link w:val="23"/>
    <w:qFormat/>
    <w:uiPriority w:val="0"/>
    <w:pPr>
      <w:spacing w:line="276" w:lineRule="auto"/>
    </w:pPr>
    <w:rPr>
      <w:rFonts w:ascii="宋体" w:hAnsi="Courier New" w:cs="Times New Roman"/>
      <w:kern w:val="2"/>
      <w:szCs w:val="21"/>
    </w:rPr>
  </w:style>
  <w:style w:type="character" w:customStyle="1" w:styleId="25">
    <w:name w:val="页眉 Char"/>
    <w:link w:val="11"/>
    <w:qFormat/>
    <w:uiPriority w:val="99"/>
    <w:rPr>
      <w:rFonts w:ascii="Calibri" w:hAnsi="Calibri" w:eastAsia="宋体" w:cs="Arial"/>
      <w:sz w:val="18"/>
      <w:szCs w:val="18"/>
      <w:lang w:val="en-US" w:eastAsia="zh-CN" w:bidi="ar-SA"/>
    </w:rPr>
  </w:style>
  <w:style w:type="character" w:customStyle="1" w:styleId="26">
    <w:name w:val="页脚 Char"/>
    <w:link w:val="10"/>
    <w:qFormat/>
    <w:uiPriority w:val="99"/>
    <w:rPr>
      <w:rFonts w:cs="Arial"/>
      <w:sz w:val="18"/>
      <w:szCs w:val="18"/>
    </w:rPr>
  </w:style>
  <w:style w:type="character" w:customStyle="1" w:styleId="27">
    <w:name w:val="正文2 Char"/>
    <w:link w:val="28"/>
    <w:qFormat/>
    <w:uiPriority w:val="0"/>
    <w:rPr>
      <w:rFonts w:ascii="楷体" w:hAnsi="楷体" w:eastAsia="楷体"/>
      <w:color w:val="000000"/>
      <w:sz w:val="24"/>
      <w:szCs w:val="21"/>
      <w:lang w:bidi="ar-SA"/>
    </w:rPr>
  </w:style>
  <w:style w:type="paragraph" w:customStyle="1" w:styleId="28">
    <w:name w:val="正文2"/>
    <w:basedOn w:val="1"/>
    <w:link w:val="27"/>
    <w:qFormat/>
    <w:uiPriority w:val="0"/>
    <w:pPr>
      <w:autoSpaceDE w:val="0"/>
      <w:autoSpaceDN w:val="0"/>
      <w:adjustRightInd w:val="0"/>
      <w:spacing w:line="360" w:lineRule="auto"/>
      <w:ind w:firstLine="200" w:firstLineChars="200"/>
      <w:jc w:val="left"/>
    </w:pPr>
    <w:rPr>
      <w:rFonts w:ascii="楷体" w:hAnsi="楷体" w:eastAsia="楷体" w:cs="Times New Roman"/>
      <w:color w:val="000000"/>
      <w:sz w:val="24"/>
      <w:szCs w:val="21"/>
    </w:rPr>
  </w:style>
  <w:style w:type="character" w:customStyle="1" w:styleId="29">
    <w:name w:val="批注框文本 Char"/>
    <w:link w:val="9"/>
    <w:qFormat/>
    <w:uiPriority w:val="0"/>
    <w:rPr>
      <w:rFonts w:ascii="宋体" w:hAnsi="宋体" w:eastAsia="宋体"/>
      <w:kern w:val="2"/>
      <w:sz w:val="18"/>
      <w:szCs w:val="18"/>
      <w:lang w:val="en-US" w:eastAsia="zh-CN" w:bidi="ar-SA"/>
    </w:rPr>
  </w:style>
  <w:style w:type="character" w:customStyle="1" w:styleId="30">
    <w:name w:val="标题 Char"/>
    <w:basedOn w:val="19"/>
    <w:link w:val="16"/>
    <w:qFormat/>
    <w:uiPriority w:val="0"/>
    <w:rPr>
      <w:rFonts w:ascii="Cambria" w:hAnsi="Cambria" w:cs="Times New Roman"/>
      <w:b/>
      <w:bCs/>
      <w:sz w:val="32"/>
      <w:szCs w:val="32"/>
    </w:rPr>
  </w:style>
  <w:style w:type="character" w:customStyle="1" w:styleId="31">
    <w:name w:val="标题 4 Char"/>
    <w:link w:val="4"/>
    <w:qFormat/>
    <w:uiPriority w:val="0"/>
    <w:rPr>
      <w:rFonts w:ascii="Arial" w:hAnsi="Arial" w:eastAsia="黑体" w:cs="Arial"/>
      <w:b/>
      <w:bCs/>
      <w:kern w:val="2"/>
      <w:sz w:val="28"/>
      <w:szCs w:val="28"/>
    </w:rPr>
  </w:style>
  <w:style w:type="character" w:customStyle="1" w:styleId="32">
    <w:name w:val="引用 Char"/>
    <w:link w:val="33"/>
    <w:qFormat/>
    <w:uiPriority w:val="0"/>
    <w:rPr>
      <w:rFonts w:ascii="宋体" w:eastAsia="宋体"/>
      <w:b/>
      <w:iCs/>
      <w:color w:val="0070C0"/>
      <w:sz w:val="24"/>
      <w:lang w:val="en-US" w:eastAsia="zh-CN" w:bidi="ar-SA"/>
    </w:rPr>
  </w:style>
  <w:style w:type="paragraph" w:styleId="33">
    <w:name w:val="Quote"/>
    <w:basedOn w:val="1"/>
    <w:next w:val="1"/>
    <w:link w:val="32"/>
    <w:qFormat/>
    <w:uiPriority w:val="0"/>
    <w:pPr>
      <w:spacing w:line="360" w:lineRule="auto"/>
      <w:ind w:firstLine="200" w:firstLineChars="200"/>
    </w:pPr>
    <w:rPr>
      <w:rFonts w:ascii="宋体" w:cs="Times New Roman"/>
      <w:b/>
      <w:iCs/>
      <w:color w:val="0070C0"/>
      <w:sz w:val="24"/>
    </w:rPr>
  </w:style>
  <w:style w:type="paragraph" w:customStyle="1" w:styleId="34">
    <w:name w:val="Char Char2 Char Char Char Char Char Char Char Char Char Char Char Char Char"/>
    <w:basedOn w:val="1"/>
    <w:qFormat/>
    <w:uiPriority w:val="0"/>
    <w:pPr>
      <w:widowControl/>
      <w:autoSpaceDE w:val="0"/>
      <w:autoSpaceDN w:val="0"/>
      <w:adjustRightInd w:val="0"/>
      <w:spacing w:line="440" w:lineRule="exact"/>
      <w:jc w:val="left"/>
    </w:pPr>
    <w:rPr>
      <w:rFonts w:cs="Times New Roman"/>
      <w:sz w:val="20"/>
    </w:rPr>
  </w:style>
  <w:style w:type="paragraph" w:customStyle="1" w:styleId="35">
    <w:name w:val="样式 样式 标题 2 + 小四 行距: 固定值 20 磅 + 段前: 5 行"/>
    <w:basedOn w:val="1"/>
    <w:qFormat/>
    <w:uiPriority w:val="0"/>
    <w:pPr>
      <w:keepNext/>
      <w:keepLines/>
      <w:spacing w:before="200" w:after="100"/>
      <w:outlineLvl w:val="1"/>
    </w:pPr>
    <w:rPr>
      <w:rFonts w:ascii="Cambria" w:hAnsi="Cambria" w:cs="宋体"/>
      <w:b/>
      <w:bCs/>
      <w:sz w:val="24"/>
    </w:rPr>
  </w:style>
  <w:style w:type="paragraph" w:customStyle="1" w:styleId="36">
    <w:name w:val="CM23"/>
    <w:basedOn w:val="37"/>
    <w:next w:val="37"/>
    <w:qFormat/>
    <w:uiPriority w:val="0"/>
    <w:pPr>
      <w:spacing w:line="468"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CM35"/>
    <w:basedOn w:val="37"/>
    <w:next w:val="37"/>
    <w:qFormat/>
    <w:uiPriority w:val="0"/>
    <w:pPr>
      <w:spacing w:after="165"/>
    </w:pPr>
    <w:rPr>
      <w:rFonts w:cs="Times New Roman"/>
      <w:color w:val="auto"/>
    </w:rPr>
  </w:style>
  <w:style w:type="paragraph" w:styleId="39">
    <w:name w:val="List Paragraph"/>
    <w:basedOn w:val="1"/>
    <w:qFormat/>
    <w:uiPriority w:val="34"/>
    <w:pPr>
      <w:ind w:firstLine="420" w:firstLineChars="200"/>
    </w:pPr>
    <w:rPr>
      <w:rFonts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9BF0A-743C-484B-AC10-10ACD50FC71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66</Pages>
  <Words>1563</Words>
  <Characters>1866</Characters>
  <Lines>359</Lines>
  <Paragraphs>101</Paragraphs>
  <TotalTime>0</TotalTime>
  <ScaleCrop>false</ScaleCrop>
  <LinksUpToDate>false</LinksUpToDate>
  <CharactersWithSpaces>2278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2021-04-12T02:31:00Z</dcterms:created>
  <dc:creator>SM-T700</dc:creator>
  <cp:lastModifiedBy>Admin</cp:lastModifiedBy>
  <cp:lastPrinted>2023-09-15T02:15:00Z</cp:lastPrinted>
  <dcterms:modified xsi:type="dcterms:W3CDTF">2025-07-10T00:51:58Z</dcterms:modified>
  <dc:title>质  量  手  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099E781DF01349E2A349357320EB23F5_13</vt:lpwstr>
  </property>
  <property fmtid="{D5CDD505-2E9C-101B-9397-08002B2CF9AE}" pid="4" name="KSOTemplateDocerSaveRecord">
    <vt:lpwstr>eyJoZGlkIjoiOTEyZGFlYzJhMjM5ZWQwZWRjNTQ0MGIwMDliYmM4MTQifQ==</vt:lpwstr>
  </property>
</Properties>
</file>